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E0" w:rsidRDefault="00C63CE0">
      <w:pPr>
        <w:rPr>
          <w:lang w:val="es-MX"/>
        </w:rPr>
      </w:pPr>
    </w:p>
    <w:p w:rsidR="00C63CE0" w:rsidRDefault="00C63CE0">
      <w:pPr>
        <w:rPr>
          <w:b/>
          <w:bCs/>
          <w:sz w:val="52"/>
          <w:szCs w:val="52"/>
        </w:rPr>
      </w:pPr>
    </w:p>
    <w:p w:rsidR="00C63CE0" w:rsidRDefault="00AD38F1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INFORMACION DE PRENSA</w:t>
      </w:r>
    </w:p>
    <w:p w:rsidR="00C63CE0" w:rsidRDefault="00C63CE0">
      <w:pPr>
        <w:rPr>
          <w:sz w:val="44"/>
          <w:szCs w:val="44"/>
        </w:rPr>
      </w:pPr>
    </w:p>
    <w:p w:rsidR="00C63CE0" w:rsidRDefault="00C63CE0">
      <w:pPr>
        <w:rPr>
          <w:b/>
          <w:sz w:val="44"/>
          <w:szCs w:val="44"/>
          <w:u w:val="single"/>
        </w:rPr>
      </w:pPr>
    </w:p>
    <w:p w:rsidR="00C63CE0" w:rsidRDefault="00AD38F1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EN </w:t>
      </w:r>
      <w:r w:rsidR="00A14751">
        <w:rPr>
          <w:b/>
          <w:sz w:val="44"/>
          <w:szCs w:val="44"/>
          <w:u w:val="single"/>
        </w:rPr>
        <w:t xml:space="preserve">MARZO SE VENDIERON 153.995 </w:t>
      </w:r>
      <w:r w:rsidR="00E3726A">
        <w:rPr>
          <w:b/>
          <w:sz w:val="44"/>
          <w:szCs w:val="44"/>
          <w:u w:val="single"/>
        </w:rPr>
        <w:t>AUTOS USADOS</w:t>
      </w:r>
    </w:p>
    <w:p w:rsidR="00C63CE0" w:rsidRDefault="00C63CE0">
      <w:pPr>
        <w:rPr>
          <w:b/>
          <w:sz w:val="44"/>
          <w:szCs w:val="44"/>
          <w:u w:val="single"/>
        </w:rPr>
      </w:pPr>
    </w:p>
    <w:p w:rsidR="00E3726A" w:rsidRDefault="00E3726A" w:rsidP="003027AF">
      <w:pPr>
        <w:rPr>
          <w:b/>
          <w:sz w:val="44"/>
          <w:szCs w:val="44"/>
          <w:u w:val="single"/>
        </w:rPr>
      </w:pPr>
    </w:p>
    <w:p w:rsidR="00E3726A" w:rsidRDefault="00A14751" w:rsidP="003027A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EN LOS 3 </w:t>
      </w:r>
      <w:r w:rsidR="00E3726A">
        <w:rPr>
          <w:b/>
          <w:sz w:val="44"/>
          <w:szCs w:val="44"/>
          <w:u w:val="single"/>
        </w:rPr>
        <w:t>PRIMEROS MESES DE</w:t>
      </w:r>
      <w:r>
        <w:rPr>
          <w:b/>
          <w:sz w:val="44"/>
          <w:szCs w:val="44"/>
          <w:u w:val="single"/>
        </w:rPr>
        <w:t>L AÑO SE COMERCIALIZARON 437.294</w:t>
      </w:r>
      <w:r w:rsidR="00E3726A">
        <w:rPr>
          <w:b/>
          <w:sz w:val="44"/>
          <w:szCs w:val="44"/>
          <w:u w:val="single"/>
        </w:rPr>
        <w:t xml:space="preserve"> VEHÌCULOS USADOS</w:t>
      </w:r>
    </w:p>
    <w:p w:rsidR="00E3726A" w:rsidRDefault="00E3726A" w:rsidP="003027AF">
      <w:pPr>
        <w:rPr>
          <w:b/>
          <w:sz w:val="44"/>
          <w:szCs w:val="44"/>
          <w:u w:val="single"/>
        </w:rPr>
      </w:pPr>
    </w:p>
    <w:p w:rsidR="00E3726A" w:rsidRDefault="00E3726A" w:rsidP="003027AF">
      <w:pPr>
        <w:rPr>
          <w:b/>
          <w:sz w:val="44"/>
          <w:szCs w:val="44"/>
          <w:u w:val="single"/>
        </w:rPr>
      </w:pPr>
    </w:p>
    <w:p w:rsidR="003027AF" w:rsidRDefault="003027AF" w:rsidP="006F71A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LAS PROVINCIAS QUE MÁS </w:t>
      </w:r>
      <w:r w:rsidR="006F71AF">
        <w:rPr>
          <w:b/>
          <w:sz w:val="44"/>
          <w:szCs w:val="44"/>
          <w:u w:val="single"/>
        </w:rPr>
        <w:t xml:space="preserve">CRECIERON CON RESPECTO A FEBRERO FUERON: SAN LUIS, CORRIENTES, ENTRE RÍOS, FORMOSA Y MENDOZA. </w:t>
      </w:r>
    </w:p>
    <w:p w:rsidR="003027AF" w:rsidRDefault="003027AF">
      <w:pPr>
        <w:rPr>
          <w:b/>
          <w:sz w:val="44"/>
          <w:szCs w:val="44"/>
          <w:u w:val="single"/>
        </w:rPr>
      </w:pPr>
    </w:p>
    <w:p w:rsidR="003027AF" w:rsidRDefault="003027AF">
      <w:pPr>
        <w:rPr>
          <w:b/>
          <w:sz w:val="44"/>
          <w:szCs w:val="44"/>
          <w:u w:val="single"/>
        </w:rPr>
      </w:pPr>
    </w:p>
    <w:p w:rsidR="00C63CE0" w:rsidRDefault="00C63CE0">
      <w:pPr>
        <w:rPr>
          <w:b/>
          <w:sz w:val="44"/>
          <w:szCs w:val="44"/>
          <w:u w:val="single"/>
        </w:rPr>
      </w:pPr>
    </w:p>
    <w:p w:rsidR="00C63CE0" w:rsidRDefault="00C63CE0">
      <w:pPr>
        <w:rPr>
          <w:b/>
          <w:sz w:val="44"/>
          <w:szCs w:val="44"/>
          <w:u w:val="single"/>
        </w:rPr>
      </w:pPr>
    </w:p>
    <w:p w:rsidR="003027AF" w:rsidRDefault="003027AF">
      <w:pPr>
        <w:rPr>
          <w:sz w:val="40"/>
          <w:szCs w:val="40"/>
        </w:rPr>
      </w:pPr>
    </w:p>
    <w:p w:rsidR="003027AF" w:rsidRDefault="003027AF">
      <w:pPr>
        <w:rPr>
          <w:sz w:val="40"/>
          <w:szCs w:val="40"/>
        </w:rPr>
      </w:pPr>
    </w:p>
    <w:p w:rsidR="00C63CE0" w:rsidRDefault="00AD38F1">
      <w:pPr>
        <w:rPr>
          <w:b/>
          <w:sz w:val="40"/>
          <w:szCs w:val="40"/>
        </w:rPr>
      </w:pPr>
      <w:r>
        <w:rPr>
          <w:sz w:val="40"/>
          <w:szCs w:val="40"/>
        </w:rPr>
        <w:t>La Cámara del Comercio Autom</w:t>
      </w:r>
      <w:r w:rsidR="00E3726A">
        <w:rPr>
          <w:sz w:val="40"/>
          <w:szCs w:val="40"/>
        </w:rPr>
        <w:t>oto</w:t>
      </w:r>
      <w:r w:rsidR="00A14751">
        <w:rPr>
          <w:sz w:val="40"/>
          <w:szCs w:val="40"/>
        </w:rPr>
        <w:t>r (CCA), informó que en marzo se vendieron 153.995</w:t>
      </w:r>
      <w:r w:rsidR="00E3726A">
        <w:rPr>
          <w:sz w:val="40"/>
          <w:szCs w:val="40"/>
        </w:rPr>
        <w:t xml:space="preserve"> </w:t>
      </w:r>
      <w:r>
        <w:rPr>
          <w:sz w:val="40"/>
          <w:szCs w:val="40"/>
        </w:rPr>
        <w:t>veh</w:t>
      </w:r>
      <w:r w:rsidR="00E3726A">
        <w:rPr>
          <w:sz w:val="40"/>
          <w:szCs w:val="40"/>
        </w:rPr>
        <w:t xml:space="preserve">ículos usados, una </w:t>
      </w:r>
      <w:r w:rsidR="00A14751">
        <w:rPr>
          <w:sz w:val="40"/>
          <w:szCs w:val="40"/>
        </w:rPr>
        <w:t xml:space="preserve">suba del 8,16% </w:t>
      </w:r>
      <w:r>
        <w:rPr>
          <w:sz w:val="40"/>
          <w:szCs w:val="40"/>
        </w:rPr>
        <w:t>con respecto a igual mes del año pasado cu</w:t>
      </w:r>
      <w:r w:rsidR="00A14751">
        <w:rPr>
          <w:sz w:val="40"/>
          <w:szCs w:val="40"/>
        </w:rPr>
        <w:t>ando se comercializaron 142.383</w:t>
      </w:r>
      <w:r w:rsidR="00E3726A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unidades. </w:t>
      </w:r>
    </w:p>
    <w:p w:rsidR="00C63CE0" w:rsidRDefault="00C63CE0">
      <w:pPr>
        <w:rPr>
          <w:b/>
          <w:sz w:val="40"/>
          <w:szCs w:val="40"/>
        </w:rPr>
      </w:pPr>
    </w:p>
    <w:p w:rsidR="00C63CE0" w:rsidRDefault="00C63CE0">
      <w:pPr>
        <w:rPr>
          <w:b/>
          <w:sz w:val="40"/>
          <w:szCs w:val="40"/>
        </w:rPr>
      </w:pPr>
    </w:p>
    <w:p w:rsidR="00B658C9" w:rsidRDefault="00B658C9">
      <w:pPr>
        <w:rPr>
          <w:sz w:val="40"/>
          <w:szCs w:val="40"/>
        </w:rPr>
      </w:pPr>
    </w:p>
    <w:p w:rsidR="00C63CE0" w:rsidRPr="00185FAE" w:rsidRDefault="00AD38F1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Con respec</w:t>
      </w:r>
      <w:r w:rsidR="00A14751">
        <w:rPr>
          <w:sz w:val="40"/>
          <w:szCs w:val="40"/>
        </w:rPr>
        <w:t xml:space="preserve">to a febrero (130.229 unidades), el mercado creció 18,25%.  </w:t>
      </w:r>
    </w:p>
    <w:p w:rsidR="00C63CE0" w:rsidRDefault="00C63CE0">
      <w:pPr>
        <w:rPr>
          <w:sz w:val="40"/>
          <w:szCs w:val="40"/>
        </w:rPr>
      </w:pPr>
    </w:p>
    <w:p w:rsidR="00C63CE0" w:rsidRDefault="00C63CE0">
      <w:pPr>
        <w:rPr>
          <w:sz w:val="40"/>
          <w:szCs w:val="40"/>
        </w:rPr>
      </w:pPr>
    </w:p>
    <w:p w:rsidR="00B658C9" w:rsidRDefault="00B658C9">
      <w:pPr>
        <w:rPr>
          <w:sz w:val="40"/>
          <w:szCs w:val="40"/>
        </w:rPr>
      </w:pPr>
    </w:p>
    <w:p w:rsidR="00B658C9" w:rsidRDefault="00B658C9">
      <w:pPr>
        <w:rPr>
          <w:sz w:val="40"/>
          <w:szCs w:val="40"/>
        </w:rPr>
      </w:pPr>
    </w:p>
    <w:p w:rsidR="00C63CE0" w:rsidRDefault="00A14751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En los 3 </w:t>
      </w:r>
      <w:r w:rsidR="00444629">
        <w:rPr>
          <w:sz w:val="40"/>
          <w:szCs w:val="40"/>
        </w:rPr>
        <w:t>primeros mes</w:t>
      </w:r>
      <w:r>
        <w:rPr>
          <w:sz w:val="40"/>
          <w:szCs w:val="40"/>
        </w:rPr>
        <w:t>es del año se vendieron 437.294 unidades, una baja del 5,23</w:t>
      </w:r>
      <w:r w:rsidR="00444629">
        <w:rPr>
          <w:sz w:val="40"/>
          <w:szCs w:val="40"/>
        </w:rPr>
        <w:t>% comparado co</w:t>
      </w:r>
      <w:r>
        <w:rPr>
          <w:sz w:val="40"/>
          <w:szCs w:val="40"/>
        </w:rPr>
        <w:t>n igual período de 2025 (461.423</w:t>
      </w:r>
      <w:r w:rsidR="00444629">
        <w:rPr>
          <w:sz w:val="40"/>
          <w:szCs w:val="40"/>
        </w:rPr>
        <w:t xml:space="preserve"> unidades).</w:t>
      </w:r>
    </w:p>
    <w:p w:rsidR="00C63CE0" w:rsidRDefault="00C63CE0">
      <w:pPr>
        <w:rPr>
          <w:b/>
          <w:sz w:val="40"/>
          <w:szCs w:val="40"/>
          <w:u w:val="single"/>
        </w:rPr>
      </w:pPr>
    </w:p>
    <w:p w:rsidR="00185FAE" w:rsidRDefault="00185FAE">
      <w:pPr>
        <w:rPr>
          <w:b/>
          <w:sz w:val="40"/>
          <w:szCs w:val="40"/>
        </w:rPr>
      </w:pPr>
    </w:p>
    <w:p w:rsidR="00185FAE" w:rsidRDefault="00185FAE">
      <w:pPr>
        <w:rPr>
          <w:b/>
          <w:sz w:val="40"/>
          <w:szCs w:val="40"/>
        </w:rPr>
      </w:pPr>
    </w:p>
    <w:p w:rsidR="00E3726A" w:rsidRDefault="00E3726A">
      <w:pPr>
        <w:rPr>
          <w:b/>
          <w:sz w:val="40"/>
          <w:szCs w:val="40"/>
          <w:u w:val="single"/>
        </w:rPr>
      </w:pPr>
    </w:p>
    <w:p w:rsidR="00E3726A" w:rsidRDefault="00E3726A">
      <w:pPr>
        <w:rPr>
          <w:b/>
          <w:sz w:val="40"/>
          <w:szCs w:val="40"/>
          <w:u w:val="single"/>
        </w:rPr>
      </w:pPr>
    </w:p>
    <w:p w:rsidR="00E3726A" w:rsidRDefault="00E3726A">
      <w:pPr>
        <w:rPr>
          <w:b/>
          <w:sz w:val="40"/>
          <w:szCs w:val="40"/>
          <w:u w:val="single"/>
        </w:rPr>
      </w:pPr>
    </w:p>
    <w:p w:rsidR="00C63CE0" w:rsidRPr="00DF36D8" w:rsidRDefault="00AD38F1">
      <w:pPr>
        <w:rPr>
          <w:b/>
          <w:sz w:val="40"/>
          <w:szCs w:val="40"/>
          <w:u w:val="single"/>
        </w:rPr>
      </w:pPr>
      <w:r w:rsidRPr="00DF36D8">
        <w:rPr>
          <w:b/>
          <w:sz w:val="40"/>
          <w:szCs w:val="40"/>
          <w:u w:val="single"/>
        </w:rPr>
        <w:t>DECLARACIONES DE ALEJANDRO LAMAS, SECRETARIO DE LA CCA</w:t>
      </w:r>
    </w:p>
    <w:p w:rsidR="00C63CE0" w:rsidRDefault="00C63CE0">
      <w:pPr>
        <w:rPr>
          <w:sz w:val="40"/>
          <w:szCs w:val="40"/>
        </w:rPr>
      </w:pPr>
    </w:p>
    <w:p w:rsidR="009C646D" w:rsidRDefault="009C646D" w:rsidP="00397B51">
      <w:pPr>
        <w:rPr>
          <w:sz w:val="40"/>
          <w:szCs w:val="40"/>
        </w:rPr>
      </w:pPr>
    </w:p>
    <w:p w:rsidR="00262B8F" w:rsidRPr="00262B8F" w:rsidRDefault="003964A3" w:rsidP="00262B8F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="00262B8F" w:rsidRPr="00262B8F">
        <w:rPr>
          <w:sz w:val="40"/>
          <w:szCs w:val="40"/>
        </w:rPr>
        <w:t>Después de 2 meses donde la venta de autos usados no recuperaba los volúmenes de venta del año 2025, el mes de marzo cortó esa mala racha</w:t>
      </w:r>
      <w:r>
        <w:rPr>
          <w:sz w:val="40"/>
          <w:szCs w:val="40"/>
        </w:rPr>
        <w:t>”, dijo Alejandro Lamas, secretario de la CCA</w:t>
      </w:r>
      <w:r w:rsidR="00262B8F" w:rsidRPr="00262B8F">
        <w:rPr>
          <w:sz w:val="40"/>
          <w:szCs w:val="40"/>
        </w:rPr>
        <w:t xml:space="preserve">. </w:t>
      </w:r>
    </w:p>
    <w:p w:rsidR="003964A3" w:rsidRDefault="003964A3" w:rsidP="00262B8F">
      <w:pPr>
        <w:rPr>
          <w:sz w:val="40"/>
          <w:szCs w:val="40"/>
        </w:rPr>
      </w:pPr>
    </w:p>
    <w:p w:rsidR="00262B8F" w:rsidRPr="00262B8F" w:rsidRDefault="003964A3" w:rsidP="00262B8F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="00262B8F" w:rsidRPr="00262B8F">
        <w:rPr>
          <w:sz w:val="40"/>
          <w:szCs w:val="40"/>
        </w:rPr>
        <w:t>El mercado recuperó volumen y fue el mejo</w:t>
      </w:r>
      <w:r>
        <w:rPr>
          <w:sz w:val="40"/>
          <w:szCs w:val="40"/>
        </w:rPr>
        <w:t xml:space="preserve">r mes desde que comenzó el año. </w:t>
      </w:r>
      <w:r w:rsidR="00262B8F" w:rsidRPr="00262B8F">
        <w:rPr>
          <w:sz w:val="40"/>
          <w:szCs w:val="40"/>
        </w:rPr>
        <w:t>Pero</w:t>
      </w:r>
      <w:r>
        <w:rPr>
          <w:sz w:val="40"/>
          <w:szCs w:val="40"/>
        </w:rPr>
        <w:t>,</w:t>
      </w:r>
      <w:r w:rsidR="00262B8F" w:rsidRPr="00262B8F">
        <w:rPr>
          <w:sz w:val="40"/>
          <w:szCs w:val="40"/>
        </w:rPr>
        <w:t xml:space="preserve"> esto no significa que el sector comenzó su recuperación. Estamos en un mercado muy inestable, y esto lo venimos viendo desde el año pasado pese a los números comercializados</w:t>
      </w:r>
      <w:r>
        <w:rPr>
          <w:sz w:val="40"/>
          <w:szCs w:val="40"/>
        </w:rPr>
        <w:t>”, mencionó el directivo</w:t>
      </w:r>
      <w:r w:rsidR="00262B8F" w:rsidRPr="00262B8F">
        <w:rPr>
          <w:sz w:val="40"/>
          <w:szCs w:val="40"/>
        </w:rPr>
        <w:t>.</w:t>
      </w:r>
    </w:p>
    <w:p w:rsidR="003964A3" w:rsidRDefault="003964A3" w:rsidP="00262B8F">
      <w:pPr>
        <w:rPr>
          <w:sz w:val="40"/>
          <w:szCs w:val="40"/>
        </w:rPr>
      </w:pPr>
    </w:p>
    <w:p w:rsidR="00B1086C" w:rsidRDefault="003964A3" w:rsidP="00262B8F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="00262B8F" w:rsidRPr="00262B8F">
        <w:rPr>
          <w:sz w:val="40"/>
          <w:szCs w:val="40"/>
        </w:rPr>
        <w:t xml:space="preserve">El sector se fue adecuando al nuevo mercado, las agencias recuperaron productos demandados, pero la voracidad fiscal y la baja rentabilidad es un problema a solucionar. Si a esto le sumamos que las tasas que ofrecen </w:t>
      </w:r>
    </w:p>
    <w:p w:rsidR="00B1086C" w:rsidRDefault="00B1086C" w:rsidP="00262B8F">
      <w:pPr>
        <w:rPr>
          <w:sz w:val="40"/>
          <w:szCs w:val="40"/>
        </w:rPr>
      </w:pPr>
    </w:p>
    <w:p w:rsidR="00B1086C" w:rsidRDefault="00B1086C" w:rsidP="00262B8F">
      <w:pPr>
        <w:rPr>
          <w:sz w:val="40"/>
          <w:szCs w:val="40"/>
        </w:rPr>
      </w:pPr>
    </w:p>
    <w:p w:rsidR="00262B8F" w:rsidRPr="00262B8F" w:rsidRDefault="00262B8F" w:rsidP="00262B8F">
      <w:pPr>
        <w:rPr>
          <w:sz w:val="40"/>
          <w:szCs w:val="40"/>
        </w:rPr>
      </w:pPr>
      <w:proofErr w:type="gramStart"/>
      <w:r w:rsidRPr="00262B8F">
        <w:rPr>
          <w:sz w:val="40"/>
          <w:szCs w:val="40"/>
        </w:rPr>
        <w:t>los</w:t>
      </w:r>
      <w:proofErr w:type="gramEnd"/>
      <w:r w:rsidRPr="00262B8F">
        <w:rPr>
          <w:sz w:val="40"/>
          <w:szCs w:val="40"/>
        </w:rPr>
        <w:t xml:space="preserve"> bancos no están acorde a lo que demanda el mercado, el tema se complica más</w:t>
      </w:r>
      <w:r w:rsidR="003964A3">
        <w:rPr>
          <w:sz w:val="40"/>
          <w:szCs w:val="40"/>
        </w:rPr>
        <w:t>”, expresó Lamas</w:t>
      </w:r>
      <w:r w:rsidRPr="00262B8F">
        <w:rPr>
          <w:sz w:val="40"/>
          <w:szCs w:val="40"/>
        </w:rPr>
        <w:t>.</w:t>
      </w:r>
    </w:p>
    <w:p w:rsidR="00262B8F" w:rsidRDefault="00262B8F" w:rsidP="00262B8F">
      <w:pPr>
        <w:rPr>
          <w:sz w:val="40"/>
          <w:szCs w:val="40"/>
        </w:rPr>
      </w:pPr>
    </w:p>
    <w:p w:rsidR="00262B8F" w:rsidRDefault="003964A3" w:rsidP="00262B8F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="00262B8F" w:rsidRPr="00262B8F">
        <w:rPr>
          <w:sz w:val="40"/>
          <w:szCs w:val="40"/>
        </w:rPr>
        <w:t xml:space="preserve">También, debemos comentar que la competencia en la actualidad es muy importante debido a la cantidad de </w:t>
      </w:r>
    </w:p>
    <w:p w:rsidR="00262B8F" w:rsidRPr="00262B8F" w:rsidRDefault="00262B8F" w:rsidP="00262B8F">
      <w:pPr>
        <w:rPr>
          <w:sz w:val="40"/>
          <w:szCs w:val="40"/>
        </w:rPr>
      </w:pPr>
      <w:proofErr w:type="gramStart"/>
      <w:r w:rsidRPr="00262B8F">
        <w:rPr>
          <w:sz w:val="40"/>
          <w:szCs w:val="40"/>
        </w:rPr>
        <w:t>marcas</w:t>
      </w:r>
      <w:proofErr w:type="gramEnd"/>
      <w:r w:rsidRPr="00262B8F">
        <w:rPr>
          <w:sz w:val="40"/>
          <w:szCs w:val="40"/>
        </w:rPr>
        <w:t xml:space="preserve"> que están entrando al mercado. El sector está preparado para afrontar estos desafíos</w:t>
      </w:r>
      <w:r w:rsidR="003964A3">
        <w:rPr>
          <w:sz w:val="40"/>
          <w:szCs w:val="40"/>
        </w:rPr>
        <w:t>”, finalizó</w:t>
      </w:r>
      <w:r w:rsidRPr="00262B8F">
        <w:rPr>
          <w:sz w:val="40"/>
          <w:szCs w:val="40"/>
        </w:rPr>
        <w:t>.</w:t>
      </w:r>
    </w:p>
    <w:p w:rsidR="00AD0A89" w:rsidRDefault="00AD0A89" w:rsidP="009C646D">
      <w:pPr>
        <w:rPr>
          <w:sz w:val="40"/>
          <w:szCs w:val="40"/>
        </w:rPr>
      </w:pPr>
    </w:p>
    <w:p w:rsidR="00A14751" w:rsidRDefault="00A14751" w:rsidP="009C646D">
      <w:pPr>
        <w:rPr>
          <w:sz w:val="40"/>
          <w:szCs w:val="40"/>
        </w:rPr>
      </w:pPr>
    </w:p>
    <w:p w:rsidR="00A14751" w:rsidRDefault="00A14751" w:rsidP="009C646D">
      <w:pPr>
        <w:rPr>
          <w:sz w:val="40"/>
          <w:szCs w:val="40"/>
        </w:rPr>
      </w:pPr>
    </w:p>
    <w:p w:rsidR="00D23E21" w:rsidRDefault="00262B8F">
      <w:pPr>
        <w:rPr>
          <w:b/>
          <w:bCs/>
          <w:sz w:val="40"/>
          <w:szCs w:val="40"/>
          <w:u w:val="single"/>
          <w:lang w:val="es-AR"/>
        </w:rPr>
      </w:pPr>
      <w:r>
        <w:rPr>
          <w:b/>
          <w:bCs/>
          <w:sz w:val="40"/>
          <w:szCs w:val="40"/>
          <w:u w:val="single"/>
          <w:lang w:val="es-AR"/>
        </w:rPr>
        <w:t>RANKING</w:t>
      </w:r>
      <w:r w:rsidR="003964A3">
        <w:rPr>
          <w:b/>
          <w:bCs/>
          <w:sz w:val="40"/>
          <w:szCs w:val="40"/>
          <w:u w:val="single"/>
          <w:lang w:val="es-AR"/>
        </w:rPr>
        <w:t xml:space="preserve"> 10 AUTOS USADOS MARZO</w:t>
      </w:r>
    </w:p>
    <w:p w:rsidR="00D23E21" w:rsidRPr="00D23E21" w:rsidRDefault="00D23E21">
      <w:pPr>
        <w:rPr>
          <w:b/>
          <w:bCs/>
          <w:sz w:val="40"/>
          <w:szCs w:val="40"/>
          <w:lang w:val="es-AR"/>
        </w:rPr>
      </w:pPr>
    </w:p>
    <w:p w:rsidR="00D23E21" w:rsidRDefault="00D23E21">
      <w:pPr>
        <w:rPr>
          <w:bCs/>
          <w:sz w:val="40"/>
          <w:szCs w:val="40"/>
          <w:lang w:val="es-AR"/>
        </w:rPr>
      </w:pPr>
      <w:r w:rsidRPr="00D23E21">
        <w:rPr>
          <w:bCs/>
          <w:sz w:val="40"/>
          <w:szCs w:val="40"/>
          <w:lang w:val="es-AR"/>
        </w:rPr>
        <w:t xml:space="preserve">WV Gol y </w:t>
      </w:r>
      <w:proofErr w:type="spellStart"/>
      <w:r w:rsidRPr="00D23E21">
        <w:rPr>
          <w:bCs/>
          <w:sz w:val="40"/>
          <w:szCs w:val="40"/>
          <w:lang w:val="es-AR"/>
        </w:rPr>
        <w:t>Trend</w:t>
      </w:r>
      <w:proofErr w:type="spellEnd"/>
      <w:r w:rsidRPr="00D23E21">
        <w:rPr>
          <w:bCs/>
          <w:sz w:val="40"/>
          <w:szCs w:val="40"/>
          <w:lang w:val="es-AR"/>
        </w:rPr>
        <w:t xml:space="preserve">: </w:t>
      </w:r>
      <w:r w:rsidR="003A4D06">
        <w:rPr>
          <w:bCs/>
          <w:sz w:val="40"/>
          <w:szCs w:val="40"/>
          <w:lang w:val="es-AR"/>
        </w:rPr>
        <w:t>8.687</w:t>
      </w:r>
    </w:p>
    <w:p w:rsidR="00D23E21" w:rsidRDefault="00D23E2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Toyota </w:t>
      </w:r>
      <w:proofErr w:type="spellStart"/>
      <w:r>
        <w:rPr>
          <w:bCs/>
          <w:sz w:val="40"/>
          <w:szCs w:val="40"/>
          <w:lang w:val="es-AR"/>
        </w:rPr>
        <w:t>Hilux</w:t>
      </w:r>
      <w:proofErr w:type="spellEnd"/>
      <w:r>
        <w:rPr>
          <w:bCs/>
          <w:sz w:val="40"/>
          <w:szCs w:val="40"/>
          <w:lang w:val="es-AR"/>
        </w:rPr>
        <w:t>:</w:t>
      </w:r>
      <w:r w:rsidR="003A4D06">
        <w:rPr>
          <w:bCs/>
          <w:sz w:val="40"/>
          <w:szCs w:val="40"/>
          <w:lang w:val="es-AR"/>
        </w:rPr>
        <w:t xml:space="preserve"> 6.120</w:t>
      </w:r>
    </w:p>
    <w:p w:rsidR="00D23E21" w:rsidRDefault="00D23E2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Chevrolet Corsa y </w:t>
      </w:r>
      <w:proofErr w:type="spellStart"/>
      <w:r>
        <w:rPr>
          <w:bCs/>
          <w:sz w:val="40"/>
          <w:szCs w:val="40"/>
          <w:lang w:val="es-AR"/>
        </w:rPr>
        <w:t>Classic</w:t>
      </w:r>
      <w:proofErr w:type="spellEnd"/>
      <w:r>
        <w:rPr>
          <w:bCs/>
          <w:sz w:val="40"/>
          <w:szCs w:val="40"/>
          <w:lang w:val="es-AR"/>
        </w:rPr>
        <w:t>:</w:t>
      </w:r>
      <w:r w:rsidR="003A4D06">
        <w:rPr>
          <w:bCs/>
          <w:sz w:val="40"/>
          <w:szCs w:val="40"/>
          <w:lang w:val="es-AR"/>
        </w:rPr>
        <w:t xml:space="preserve"> 4.478</w:t>
      </w:r>
    </w:p>
    <w:p w:rsidR="003A4D06" w:rsidRDefault="003A4D06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Ford </w:t>
      </w:r>
      <w:proofErr w:type="spellStart"/>
      <w:r>
        <w:rPr>
          <w:bCs/>
          <w:sz w:val="40"/>
          <w:szCs w:val="40"/>
          <w:lang w:val="es-AR"/>
        </w:rPr>
        <w:t>Ranger</w:t>
      </w:r>
      <w:proofErr w:type="spellEnd"/>
      <w:r>
        <w:rPr>
          <w:bCs/>
          <w:sz w:val="40"/>
          <w:szCs w:val="40"/>
          <w:lang w:val="es-AR"/>
        </w:rPr>
        <w:t>: 4.039</w:t>
      </w:r>
    </w:p>
    <w:p w:rsidR="00D23E21" w:rsidRDefault="00D23E2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VW </w:t>
      </w:r>
      <w:proofErr w:type="spellStart"/>
      <w:r>
        <w:rPr>
          <w:bCs/>
          <w:sz w:val="40"/>
          <w:szCs w:val="40"/>
          <w:lang w:val="es-AR"/>
        </w:rPr>
        <w:t>Amarok</w:t>
      </w:r>
      <w:proofErr w:type="spellEnd"/>
      <w:r>
        <w:rPr>
          <w:bCs/>
          <w:sz w:val="40"/>
          <w:szCs w:val="40"/>
          <w:lang w:val="es-AR"/>
        </w:rPr>
        <w:t xml:space="preserve">: </w:t>
      </w:r>
      <w:r w:rsidR="003A4D06">
        <w:rPr>
          <w:bCs/>
          <w:sz w:val="40"/>
          <w:szCs w:val="40"/>
          <w:lang w:val="es-AR"/>
        </w:rPr>
        <w:t>3.798</w:t>
      </w:r>
    </w:p>
    <w:p w:rsidR="003A4D06" w:rsidRDefault="003A4D06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Peugeot 208: 3.477</w:t>
      </w:r>
    </w:p>
    <w:p w:rsidR="00D23E21" w:rsidRDefault="00D23E2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Ford </w:t>
      </w:r>
      <w:proofErr w:type="spellStart"/>
      <w:r>
        <w:rPr>
          <w:bCs/>
          <w:sz w:val="40"/>
          <w:szCs w:val="40"/>
          <w:lang w:val="es-AR"/>
        </w:rPr>
        <w:t>EcoSport</w:t>
      </w:r>
      <w:proofErr w:type="spellEnd"/>
      <w:r>
        <w:rPr>
          <w:bCs/>
          <w:sz w:val="40"/>
          <w:szCs w:val="40"/>
          <w:lang w:val="es-AR"/>
        </w:rPr>
        <w:t>:</w:t>
      </w:r>
      <w:r w:rsidR="003A4D06">
        <w:rPr>
          <w:bCs/>
          <w:sz w:val="40"/>
          <w:szCs w:val="40"/>
          <w:lang w:val="es-AR"/>
        </w:rPr>
        <w:t xml:space="preserve"> 3.158</w:t>
      </w:r>
    </w:p>
    <w:p w:rsidR="00D23E21" w:rsidRDefault="00D23E2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Toyota </w:t>
      </w:r>
      <w:proofErr w:type="spellStart"/>
      <w:r>
        <w:rPr>
          <w:bCs/>
          <w:sz w:val="40"/>
          <w:szCs w:val="40"/>
          <w:lang w:val="es-AR"/>
        </w:rPr>
        <w:t>Corolla</w:t>
      </w:r>
      <w:proofErr w:type="spellEnd"/>
      <w:r>
        <w:rPr>
          <w:bCs/>
          <w:sz w:val="40"/>
          <w:szCs w:val="40"/>
          <w:lang w:val="es-AR"/>
        </w:rPr>
        <w:t>:</w:t>
      </w:r>
      <w:r w:rsidR="003A4D06">
        <w:rPr>
          <w:bCs/>
          <w:sz w:val="40"/>
          <w:szCs w:val="40"/>
          <w:lang w:val="es-AR"/>
        </w:rPr>
        <w:t xml:space="preserve"> 2.978</w:t>
      </w:r>
    </w:p>
    <w:p w:rsidR="003A4D06" w:rsidRDefault="003A4D06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Ford </w:t>
      </w:r>
      <w:proofErr w:type="spellStart"/>
      <w:r>
        <w:rPr>
          <w:bCs/>
          <w:sz w:val="40"/>
          <w:szCs w:val="40"/>
          <w:lang w:val="es-AR"/>
        </w:rPr>
        <w:t>Ka</w:t>
      </w:r>
      <w:proofErr w:type="spellEnd"/>
      <w:r>
        <w:rPr>
          <w:bCs/>
          <w:sz w:val="40"/>
          <w:szCs w:val="40"/>
          <w:lang w:val="es-AR"/>
        </w:rPr>
        <w:t>: 2.902</w:t>
      </w:r>
    </w:p>
    <w:p w:rsidR="00D23E21" w:rsidRDefault="00D23E21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Fiat Palio: </w:t>
      </w:r>
      <w:r w:rsidR="003A4D06">
        <w:rPr>
          <w:bCs/>
          <w:sz w:val="40"/>
          <w:szCs w:val="40"/>
          <w:lang w:val="es-AR"/>
        </w:rPr>
        <w:t>2.879</w:t>
      </w:r>
      <w:bookmarkStart w:id="0" w:name="_GoBack"/>
      <w:bookmarkEnd w:id="0"/>
    </w:p>
    <w:p w:rsidR="00D23E21" w:rsidRDefault="00D23E21">
      <w:pPr>
        <w:rPr>
          <w:b/>
          <w:bCs/>
          <w:sz w:val="40"/>
          <w:szCs w:val="40"/>
          <w:u w:val="single"/>
          <w:lang w:val="es-AR"/>
        </w:rPr>
      </w:pPr>
    </w:p>
    <w:p w:rsidR="00D23E21" w:rsidRPr="00D23E21" w:rsidRDefault="00D23E21">
      <w:pPr>
        <w:rPr>
          <w:bCs/>
          <w:sz w:val="40"/>
          <w:szCs w:val="40"/>
          <w:lang w:val="es-AR"/>
        </w:rPr>
      </w:pPr>
    </w:p>
    <w:p w:rsidR="00D23E21" w:rsidRDefault="00D23E21">
      <w:pPr>
        <w:rPr>
          <w:b/>
          <w:bCs/>
          <w:sz w:val="40"/>
          <w:szCs w:val="40"/>
          <w:u w:val="single"/>
          <w:lang w:val="es-AR"/>
        </w:rPr>
      </w:pPr>
    </w:p>
    <w:p w:rsidR="00A3085C" w:rsidRDefault="00A3085C">
      <w:pPr>
        <w:rPr>
          <w:b/>
          <w:bCs/>
          <w:sz w:val="40"/>
          <w:szCs w:val="40"/>
          <w:u w:val="single"/>
          <w:lang w:val="es-AR"/>
        </w:rPr>
      </w:pPr>
      <w:r>
        <w:rPr>
          <w:b/>
          <w:bCs/>
          <w:sz w:val="40"/>
          <w:szCs w:val="40"/>
          <w:u w:val="single"/>
          <w:lang w:val="es-AR"/>
        </w:rPr>
        <w:t>PROVINCIAS: CRECIMIENTO CON RESPECTO A FEBRERO</w:t>
      </w:r>
    </w:p>
    <w:p w:rsidR="00A3085C" w:rsidRDefault="00A3085C">
      <w:pPr>
        <w:rPr>
          <w:b/>
          <w:bCs/>
          <w:sz w:val="40"/>
          <w:szCs w:val="40"/>
          <w:lang w:val="es-AR"/>
        </w:rPr>
      </w:pPr>
    </w:p>
    <w:p w:rsidR="00A3085C" w:rsidRDefault="00A3085C">
      <w:pPr>
        <w:rPr>
          <w:bCs/>
          <w:sz w:val="40"/>
          <w:szCs w:val="40"/>
          <w:lang w:val="es-AR"/>
        </w:rPr>
      </w:pPr>
      <w:r w:rsidRPr="00A3085C">
        <w:rPr>
          <w:bCs/>
          <w:sz w:val="40"/>
          <w:szCs w:val="40"/>
          <w:lang w:val="es-AR"/>
        </w:rPr>
        <w:t>San Luis:</w:t>
      </w:r>
      <w:r>
        <w:rPr>
          <w:bCs/>
          <w:sz w:val="40"/>
          <w:szCs w:val="40"/>
          <w:lang w:val="es-AR"/>
        </w:rPr>
        <w:t xml:space="preserve"> 26,23%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Corrientes: 24,73%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Entre Ríos: 24,24%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Formosa: 21,51%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Mendoza: 21,07%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Neuquén: 20,03%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Tierra del Fuego: 20%</w:t>
      </w:r>
    </w:p>
    <w:p w:rsidR="00A3085C" w:rsidRDefault="00A3085C">
      <w:pPr>
        <w:rPr>
          <w:bCs/>
          <w:sz w:val="40"/>
          <w:szCs w:val="40"/>
          <w:lang w:val="es-AR"/>
        </w:rPr>
      </w:pPr>
      <w:proofErr w:type="spellStart"/>
      <w:r>
        <w:rPr>
          <w:bCs/>
          <w:sz w:val="40"/>
          <w:szCs w:val="40"/>
          <w:lang w:val="es-AR"/>
        </w:rPr>
        <w:t>Pcia</w:t>
      </w:r>
      <w:proofErr w:type="spellEnd"/>
      <w:r>
        <w:rPr>
          <w:bCs/>
          <w:sz w:val="40"/>
          <w:szCs w:val="40"/>
          <w:lang w:val="es-AR"/>
        </w:rPr>
        <w:t>. Bs.As.: 19,09%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CABA: 18,59%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Rioja: 18,28%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Juan: 17,50%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Córdoba: 17,18%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Río Negro: 17,15%</w:t>
      </w:r>
    </w:p>
    <w:p w:rsidR="00A3085C" w:rsidRDefault="00A3085C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Fe: 15,90%</w:t>
      </w:r>
    </w:p>
    <w:p w:rsidR="00A3085C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Pampa: 15,25%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Chubut: 15,14%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Tucumán: 13,84%</w:t>
      </w:r>
    </w:p>
    <w:p w:rsidR="0030336E" w:rsidRDefault="0030336E">
      <w:pPr>
        <w:rPr>
          <w:bCs/>
          <w:sz w:val="40"/>
          <w:szCs w:val="40"/>
          <w:lang w:val="es-AR"/>
        </w:rPr>
      </w:pPr>
    </w:p>
    <w:p w:rsidR="0030336E" w:rsidRDefault="0030336E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Cruz: 13,46%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Misiones: 12,98%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Salta: 12,78%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Chaco: 11,12%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Santiago del Estero: 10,33%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Jujuy: 8,13%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Catamarca: 5,18%</w:t>
      </w: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Pr="003964A3" w:rsidRDefault="00360C9E">
      <w:pPr>
        <w:rPr>
          <w:b/>
          <w:bCs/>
          <w:sz w:val="40"/>
          <w:szCs w:val="40"/>
          <w:u w:val="single"/>
          <w:lang w:val="es-AR"/>
        </w:rPr>
      </w:pPr>
      <w:r w:rsidRPr="003964A3">
        <w:rPr>
          <w:b/>
          <w:bCs/>
          <w:sz w:val="40"/>
          <w:szCs w:val="40"/>
          <w:u w:val="single"/>
          <w:lang w:val="es-AR"/>
        </w:rPr>
        <w:t>PROVINCIAS: PORCENTAJE BAJA ENERO-MARZO 2026 COMPARADO CON IGUAL PERÍODO 2025</w:t>
      </w:r>
    </w:p>
    <w:p w:rsidR="00360C9E" w:rsidRPr="003964A3" w:rsidRDefault="00360C9E">
      <w:pPr>
        <w:rPr>
          <w:b/>
          <w:bCs/>
          <w:sz w:val="40"/>
          <w:szCs w:val="40"/>
          <w:u w:val="single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Rioja: -18,30%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Cruz: -15,09%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Misiones: -14,44%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Salta: -12,72%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Formosa: -10,72%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Chubut: -9,43%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La Pampa: -9,29%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CABA: -8,01%</w:t>
      </w:r>
    </w:p>
    <w:p w:rsidR="00580CC7" w:rsidRDefault="00580CC7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Tucumán: -7,99%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Tierra del Fuego: -7,11%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Neuquén: -6,55%</w:t>
      </w:r>
    </w:p>
    <w:p w:rsidR="00360C9E" w:rsidRDefault="00360C9E">
      <w:pPr>
        <w:rPr>
          <w:bCs/>
          <w:sz w:val="40"/>
          <w:szCs w:val="40"/>
          <w:lang w:val="es-AR"/>
        </w:rPr>
      </w:pPr>
      <w:proofErr w:type="spellStart"/>
      <w:r>
        <w:rPr>
          <w:bCs/>
          <w:sz w:val="40"/>
          <w:szCs w:val="40"/>
          <w:lang w:val="es-AR"/>
        </w:rPr>
        <w:t>Pcia</w:t>
      </w:r>
      <w:proofErr w:type="spellEnd"/>
      <w:r>
        <w:rPr>
          <w:bCs/>
          <w:sz w:val="40"/>
          <w:szCs w:val="40"/>
          <w:lang w:val="es-AR"/>
        </w:rPr>
        <w:t>. Bs.As.: -6,31%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 xml:space="preserve">Entre Ríos: </w:t>
      </w:r>
      <w:r w:rsidR="003964A3">
        <w:rPr>
          <w:bCs/>
          <w:sz w:val="40"/>
          <w:szCs w:val="40"/>
          <w:lang w:val="es-AR"/>
        </w:rPr>
        <w:t>-</w:t>
      </w:r>
      <w:r>
        <w:rPr>
          <w:bCs/>
          <w:sz w:val="40"/>
          <w:szCs w:val="40"/>
          <w:lang w:val="es-AR"/>
        </w:rPr>
        <w:t>4,36%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Luis: -4,23%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Santiago del Estero: -4,05%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Catamarca: -3,26%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Jujuy: -3,19%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Córdoba: -2,45%</w:t>
      </w:r>
    </w:p>
    <w:p w:rsidR="00360C9E" w:rsidRDefault="00360C9E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Santa Fe: -2,30%</w:t>
      </w:r>
    </w:p>
    <w:p w:rsidR="00360C9E" w:rsidRDefault="003964A3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Mendoza: -2,10%</w:t>
      </w:r>
    </w:p>
    <w:p w:rsidR="003964A3" w:rsidRDefault="003964A3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Río Negro: -2,02%</w:t>
      </w:r>
    </w:p>
    <w:p w:rsidR="003964A3" w:rsidRDefault="003964A3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Chaco: -1,93%</w:t>
      </w:r>
    </w:p>
    <w:p w:rsidR="003964A3" w:rsidRDefault="003964A3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Corrientes: -1,66%</w:t>
      </w:r>
    </w:p>
    <w:p w:rsidR="003964A3" w:rsidRDefault="003964A3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San Juan; -0,24%</w:t>
      </w:r>
    </w:p>
    <w:p w:rsidR="003964A3" w:rsidRDefault="003964A3">
      <w:pPr>
        <w:rPr>
          <w:bCs/>
          <w:sz w:val="40"/>
          <w:szCs w:val="40"/>
          <w:lang w:val="es-AR"/>
        </w:rPr>
      </w:pPr>
    </w:p>
    <w:p w:rsidR="003964A3" w:rsidRDefault="003964A3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Default="003964A3">
      <w:pPr>
        <w:rPr>
          <w:bCs/>
          <w:sz w:val="40"/>
          <w:szCs w:val="40"/>
          <w:lang w:val="es-AR"/>
        </w:rPr>
      </w:pPr>
      <w:r>
        <w:rPr>
          <w:bCs/>
          <w:sz w:val="40"/>
          <w:szCs w:val="40"/>
          <w:lang w:val="es-AR"/>
        </w:rPr>
        <w:t>Buenos Aires, abril 2026</w:t>
      </w: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Default="00360C9E">
      <w:pPr>
        <w:rPr>
          <w:bCs/>
          <w:sz w:val="40"/>
          <w:szCs w:val="40"/>
          <w:lang w:val="es-AR"/>
        </w:rPr>
      </w:pPr>
    </w:p>
    <w:p w:rsidR="00360C9E" w:rsidRPr="00360C9E" w:rsidRDefault="00360C9E">
      <w:pPr>
        <w:rPr>
          <w:bCs/>
          <w:sz w:val="40"/>
          <w:szCs w:val="40"/>
          <w:lang w:val="es-AR"/>
        </w:rPr>
      </w:pPr>
    </w:p>
    <w:p w:rsidR="00A3085C" w:rsidRPr="00A3085C" w:rsidRDefault="00A3085C">
      <w:pPr>
        <w:rPr>
          <w:bCs/>
          <w:sz w:val="40"/>
          <w:szCs w:val="40"/>
          <w:u w:val="single"/>
          <w:lang w:val="es-AR"/>
        </w:rPr>
      </w:pPr>
    </w:p>
    <w:p w:rsidR="00A3085C" w:rsidRDefault="00A3085C">
      <w:pPr>
        <w:rPr>
          <w:b/>
          <w:bCs/>
          <w:sz w:val="40"/>
          <w:szCs w:val="40"/>
          <w:u w:val="single"/>
          <w:lang w:val="es-AR"/>
        </w:rPr>
      </w:pPr>
    </w:p>
    <w:p w:rsidR="00A3085C" w:rsidRDefault="00A3085C">
      <w:pPr>
        <w:rPr>
          <w:b/>
          <w:bCs/>
          <w:sz w:val="40"/>
          <w:szCs w:val="40"/>
          <w:u w:val="single"/>
          <w:lang w:val="es-AR"/>
        </w:rPr>
      </w:pPr>
    </w:p>
    <w:p w:rsidR="00A3085C" w:rsidRDefault="00A3085C">
      <w:pPr>
        <w:rPr>
          <w:b/>
          <w:bCs/>
          <w:sz w:val="40"/>
          <w:szCs w:val="40"/>
          <w:u w:val="single"/>
          <w:lang w:val="es-AR"/>
        </w:rPr>
      </w:pPr>
    </w:p>
    <w:p w:rsidR="00A3085C" w:rsidRDefault="00A3085C">
      <w:pPr>
        <w:rPr>
          <w:b/>
          <w:bCs/>
          <w:sz w:val="40"/>
          <w:szCs w:val="40"/>
          <w:u w:val="single"/>
          <w:lang w:val="es-AR"/>
        </w:rPr>
      </w:pPr>
    </w:p>
    <w:p w:rsidR="00A3085C" w:rsidRDefault="00A3085C">
      <w:pPr>
        <w:rPr>
          <w:b/>
          <w:bCs/>
          <w:sz w:val="40"/>
          <w:szCs w:val="40"/>
          <w:u w:val="single"/>
          <w:lang w:val="es-AR"/>
        </w:rPr>
      </w:pPr>
    </w:p>
    <w:p w:rsidR="00A3085C" w:rsidRDefault="00A3085C">
      <w:pPr>
        <w:rPr>
          <w:b/>
          <w:bCs/>
          <w:sz w:val="40"/>
          <w:szCs w:val="40"/>
          <w:u w:val="single"/>
          <w:lang w:val="es-AR"/>
        </w:rPr>
      </w:pPr>
    </w:p>
    <w:p w:rsidR="00A3085C" w:rsidRDefault="00A3085C">
      <w:pPr>
        <w:rPr>
          <w:b/>
          <w:bCs/>
          <w:sz w:val="40"/>
          <w:szCs w:val="40"/>
          <w:u w:val="single"/>
          <w:lang w:val="es-AR"/>
        </w:rPr>
      </w:pPr>
    </w:p>
    <w:p w:rsidR="00C63CE0" w:rsidRDefault="00C63CE0">
      <w:pPr>
        <w:rPr>
          <w:b/>
          <w:bCs/>
          <w:sz w:val="40"/>
          <w:szCs w:val="40"/>
        </w:rPr>
      </w:pPr>
    </w:p>
    <w:sectPr w:rsidR="00C63CE0">
      <w:headerReference w:type="default" r:id="rId7"/>
      <w:footerReference w:type="default" r:id="rId8"/>
      <w:pgSz w:w="12240" w:h="15840"/>
      <w:pgMar w:top="777" w:right="1418" w:bottom="1559" w:left="1418" w:header="720" w:footer="129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94" w:rsidRDefault="00561494">
      <w:r>
        <w:separator/>
      </w:r>
    </w:p>
  </w:endnote>
  <w:endnote w:type="continuationSeparator" w:id="0">
    <w:p w:rsidR="00561494" w:rsidRDefault="0056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E0" w:rsidRDefault="00AD38F1">
    <w:pPr>
      <w:spacing w:before="120"/>
      <w:jc w:val="center"/>
      <w:rPr>
        <w:sz w:val="20"/>
      </w:rPr>
    </w:pPr>
    <w:r>
      <w:rPr>
        <w:sz w:val="20"/>
      </w:rPr>
      <w:t>SOLER 3909 - (1425)  BUENOS AIRES   TEL. 4824-7272/9505/9498/9489   FAX. 4822-7453  4823-1837</w:t>
    </w:r>
  </w:p>
  <w:p w:rsidR="00C63CE0" w:rsidRDefault="00AD38F1">
    <w:pPr>
      <w:pStyle w:val="Piedepgina1"/>
    </w:pPr>
    <w:r>
      <w:tab/>
      <w:t>http://www.cca.org.ar---- e-mail: cca@cca.org.ar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94" w:rsidRDefault="00561494">
      <w:r>
        <w:separator/>
      </w:r>
    </w:p>
  </w:footnote>
  <w:footnote w:type="continuationSeparator" w:id="0">
    <w:p w:rsidR="00561494" w:rsidRDefault="00561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E0" w:rsidRDefault="00AD38F1">
    <w:pPr>
      <w:pStyle w:val="Epgrafe"/>
      <w:rPr>
        <w:lang w:val="es-AR" w:eastAsia="es-AR"/>
      </w:rPr>
    </w:pPr>
    <w:r>
      <w:rPr>
        <w:noProof/>
        <w:lang w:val="es-AR" w:eastAsia="es-AR"/>
      </w:rPr>
      <w:drawing>
        <wp:anchor distT="0" distB="0" distL="114935" distR="114935" simplePos="0" relativeHeight="7" behindDoc="1" locked="0" layoutInCell="0" allowOverlap="1">
          <wp:simplePos x="0" y="0"/>
          <wp:positionH relativeFrom="column">
            <wp:posOffset>2303780</wp:posOffset>
          </wp:positionH>
          <wp:positionV relativeFrom="paragraph">
            <wp:posOffset>7620</wp:posOffset>
          </wp:positionV>
          <wp:extent cx="1120140" cy="1150620"/>
          <wp:effectExtent l="0" t="0" r="0" b="0"/>
          <wp:wrapTopAndBottom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7" t="-75" r="-77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1150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C63CE0">
    <w:pPr>
      <w:pStyle w:val="Epgrafe"/>
    </w:pPr>
  </w:p>
  <w:p w:rsidR="00C63CE0" w:rsidRDefault="00AD38F1">
    <w:pPr>
      <w:pStyle w:val="Epgrafe"/>
    </w:pPr>
    <w:r>
      <w:t>CAMARA DEL COMERCIO AUTOMOTOR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E0"/>
    <w:rsid w:val="00003B00"/>
    <w:rsid w:val="00045AFD"/>
    <w:rsid w:val="00185FAE"/>
    <w:rsid w:val="001E2E5F"/>
    <w:rsid w:val="00262B8F"/>
    <w:rsid w:val="002B2FA6"/>
    <w:rsid w:val="002D111B"/>
    <w:rsid w:val="003027AF"/>
    <w:rsid w:val="0030336E"/>
    <w:rsid w:val="0035602C"/>
    <w:rsid w:val="00360C9E"/>
    <w:rsid w:val="003964A3"/>
    <w:rsid w:val="00397B51"/>
    <w:rsid w:val="003A4D06"/>
    <w:rsid w:val="003F5CB0"/>
    <w:rsid w:val="004221CE"/>
    <w:rsid w:val="004273F0"/>
    <w:rsid w:val="00444629"/>
    <w:rsid w:val="004A6EEB"/>
    <w:rsid w:val="0050395C"/>
    <w:rsid w:val="00542778"/>
    <w:rsid w:val="00556AFB"/>
    <w:rsid w:val="00561494"/>
    <w:rsid w:val="00580CC7"/>
    <w:rsid w:val="005F46AB"/>
    <w:rsid w:val="006003E6"/>
    <w:rsid w:val="00600DE2"/>
    <w:rsid w:val="00685390"/>
    <w:rsid w:val="006F71AF"/>
    <w:rsid w:val="00734305"/>
    <w:rsid w:val="00796CE6"/>
    <w:rsid w:val="007C39A5"/>
    <w:rsid w:val="007D2CD5"/>
    <w:rsid w:val="007D40FF"/>
    <w:rsid w:val="008140CC"/>
    <w:rsid w:val="008152E7"/>
    <w:rsid w:val="009C646D"/>
    <w:rsid w:val="009E5691"/>
    <w:rsid w:val="00A14751"/>
    <w:rsid w:val="00A3085C"/>
    <w:rsid w:val="00AB3D3D"/>
    <w:rsid w:val="00AD0A89"/>
    <w:rsid w:val="00AD38F1"/>
    <w:rsid w:val="00AE1A95"/>
    <w:rsid w:val="00B1086C"/>
    <w:rsid w:val="00B43B38"/>
    <w:rsid w:val="00B440CB"/>
    <w:rsid w:val="00B658C9"/>
    <w:rsid w:val="00BA394A"/>
    <w:rsid w:val="00BD5829"/>
    <w:rsid w:val="00C46D74"/>
    <w:rsid w:val="00C63CE0"/>
    <w:rsid w:val="00C8596F"/>
    <w:rsid w:val="00C87965"/>
    <w:rsid w:val="00D23E21"/>
    <w:rsid w:val="00DF36D8"/>
    <w:rsid w:val="00E3726A"/>
    <w:rsid w:val="00E47B9A"/>
    <w:rsid w:val="00E5776B"/>
    <w:rsid w:val="00EB4368"/>
    <w:rsid w:val="00EF544C"/>
    <w:rsid w:val="00F42EEB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4C"/>
    <w:rPr>
      <w:rFonts w:ascii="Times New Roman" w:eastAsia="Times New Roman" w:hAnsi="Times New Roman" w:cs="Times New Roman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6E524C"/>
  </w:style>
  <w:style w:type="character" w:customStyle="1" w:styleId="WW8Num2z0">
    <w:name w:val="WW8Num2z0"/>
    <w:qFormat/>
    <w:rsid w:val="006E524C"/>
  </w:style>
  <w:style w:type="character" w:customStyle="1" w:styleId="WW8Num3z0">
    <w:name w:val="WW8Num3z0"/>
    <w:qFormat/>
    <w:rsid w:val="006E524C"/>
    <w:rPr>
      <w:b/>
    </w:rPr>
  </w:style>
  <w:style w:type="character" w:customStyle="1" w:styleId="WW8Num4z0">
    <w:name w:val="WW8Num4z0"/>
    <w:qFormat/>
    <w:rsid w:val="006E524C"/>
    <w:rPr>
      <w:b/>
      <w:i w:val="0"/>
      <w:u w:val="none"/>
    </w:rPr>
  </w:style>
  <w:style w:type="character" w:customStyle="1" w:styleId="WW8Num5z0">
    <w:name w:val="WW8Num5z0"/>
    <w:qFormat/>
    <w:rsid w:val="006E524C"/>
  </w:style>
  <w:style w:type="character" w:customStyle="1" w:styleId="WW8Num6z0">
    <w:name w:val="WW8Num6z0"/>
    <w:qFormat/>
    <w:rsid w:val="006E524C"/>
    <w:rPr>
      <w:rFonts w:ascii="Symbol" w:hAnsi="Symbol" w:cs="Symbol"/>
    </w:rPr>
  </w:style>
  <w:style w:type="character" w:customStyle="1" w:styleId="WW8Num7z0">
    <w:name w:val="WW8Num7z0"/>
    <w:qFormat/>
    <w:rsid w:val="006E524C"/>
  </w:style>
  <w:style w:type="character" w:customStyle="1" w:styleId="WW8Num8z0">
    <w:name w:val="WW8Num8z0"/>
    <w:qFormat/>
    <w:rsid w:val="006E524C"/>
  </w:style>
  <w:style w:type="character" w:customStyle="1" w:styleId="WW8NumSt6z0">
    <w:name w:val="WW8NumSt6z0"/>
    <w:qFormat/>
    <w:rsid w:val="006E524C"/>
    <w:rPr>
      <w:rFonts w:ascii="Symbol" w:hAnsi="Symbol" w:cs="Symbol"/>
    </w:rPr>
  </w:style>
  <w:style w:type="character" w:customStyle="1" w:styleId="EnlacedeInternet">
    <w:name w:val="Enlace de Internet"/>
    <w:rsid w:val="006E524C"/>
    <w:rPr>
      <w:color w:val="0000FF"/>
      <w:u w:val="single"/>
    </w:rPr>
  </w:style>
  <w:style w:type="character" w:customStyle="1" w:styleId="Destacado">
    <w:name w:val="Destacado"/>
    <w:qFormat/>
    <w:rsid w:val="006E524C"/>
    <w:rPr>
      <w:i/>
    </w:rPr>
  </w:style>
  <w:style w:type="character" w:customStyle="1" w:styleId="Muydestacado">
    <w:name w:val="Muy destacado"/>
    <w:qFormat/>
    <w:rsid w:val="006E524C"/>
    <w:rPr>
      <w:b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1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07F8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Ttulo">
    <w:name w:val="Title"/>
    <w:basedOn w:val="Normal"/>
    <w:next w:val="Textoindependiente"/>
    <w:qFormat/>
    <w:rsid w:val="006E52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E524C"/>
    <w:pPr>
      <w:jc w:val="both"/>
    </w:pPr>
  </w:style>
  <w:style w:type="paragraph" w:styleId="Lista">
    <w:name w:val="List"/>
    <w:basedOn w:val="Textoindependiente"/>
    <w:rsid w:val="006E524C"/>
    <w:rPr>
      <w:rFonts w:cs="Arial"/>
    </w:rPr>
  </w:style>
  <w:style w:type="paragraph" w:styleId="Epgrafe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customStyle="1" w:styleId="ndice">
    <w:name w:val="Índice"/>
    <w:basedOn w:val="Normal"/>
    <w:qFormat/>
    <w:rsid w:val="006E524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6E524C"/>
    <w:pPr>
      <w:keepNext/>
      <w:outlineLvl w:val="0"/>
    </w:pPr>
    <w:rPr>
      <w:b/>
      <w:u w:val="single"/>
    </w:rPr>
  </w:style>
  <w:style w:type="paragraph" w:customStyle="1" w:styleId="Ttulo21">
    <w:name w:val="Título 21"/>
    <w:basedOn w:val="Normal"/>
    <w:next w:val="Normal"/>
    <w:qFormat/>
    <w:rsid w:val="006E524C"/>
    <w:pPr>
      <w:keepNext/>
      <w:outlineLvl w:val="1"/>
    </w:pPr>
  </w:style>
  <w:style w:type="paragraph" w:customStyle="1" w:styleId="Ttulo31">
    <w:name w:val="Título 31"/>
    <w:basedOn w:val="Normal"/>
    <w:next w:val="Normal"/>
    <w:qFormat/>
    <w:rsid w:val="006E524C"/>
    <w:pPr>
      <w:keepNext/>
      <w:jc w:val="right"/>
      <w:outlineLvl w:val="2"/>
    </w:pPr>
    <w:rPr>
      <w:sz w:val="28"/>
      <w:lang w:val="es-AR"/>
    </w:rPr>
  </w:style>
  <w:style w:type="paragraph" w:customStyle="1" w:styleId="Ttulo41">
    <w:name w:val="Título 41"/>
    <w:basedOn w:val="Normal"/>
    <w:next w:val="Normal"/>
    <w:qFormat/>
    <w:rsid w:val="006E524C"/>
    <w:pPr>
      <w:keepNext/>
      <w:outlineLvl w:val="3"/>
    </w:pPr>
    <w:rPr>
      <w:sz w:val="28"/>
    </w:rPr>
  </w:style>
  <w:style w:type="paragraph" w:customStyle="1" w:styleId="Ttulo51">
    <w:name w:val="Título 51"/>
    <w:basedOn w:val="Normal"/>
    <w:next w:val="Normal"/>
    <w:qFormat/>
    <w:rsid w:val="006E524C"/>
    <w:pPr>
      <w:keepNext/>
      <w:outlineLvl w:val="4"/>
    </w:pPr>
    <w:rPr>
      <w:b/>
      <w:sz w:val="28"/>
      <w:lang w:val="es-MX"/>
    </w:rPr>
  </w:style>
  <w:style w:type="paragraph" w:customStyle="1" w:styleId="Ttulo61">
    <w:name w:val="Título 61"/>
    <w:basedOn w:val="Normal"/>
    <w:next w:val="Normal"/>
    <w:qFormat/>
    <w:rsid w:val="006E524C"/>
    <w:pPr>
      <w:keepNext/>
      <w:outlineLvl w:val="5"/>
    </w:pPr>
    <w:rPr>
      <w:sz w:val="32"/>
      <w:lang w:val="es-MX"/>
    </w:rPr>
  </w:style>
  <w:style w:type="paragraph" w:customStyle="1" w:styleId="Ttulo71">
    <w:name w:val="Título 71"/>
    <w:basedOn w:val="Normal"/>
    <w:next w:val="Normal"/>
    <w:qFormat/>
    <w:rsid w:val="006E524C"/>
    <w:pPr>
      <w:keepNext/>
      <w:outlineLvl w:val="6"/>
    </w:pPr>
    <w:rPr>
      <w:sz w:val="28"/>
      <w:u w:val="single"/>
      <w:lang w:val="es-MX"/>
    </w:rPr>
  </w:style>
  <w:style w:type="paragraph" w:customStyle="1" w:styleId="Ttulo81">
    <w:name w:val="Título 81"/>
    <w:basedOn w:val="Normal"/>
    <w:next w:val="Normal"/>
    <w:qFormat/>
    <w:rsid w:val="006E524C"/>
    <w:pPr>
      <w:keepNext/>
      <w:outlineLvl w:val="7"/>
    </w:pPr>
    <w:rPr>
      <w:b/>
      <w:lang w:val="es-MX"/>
    </w:rPr>
  </w:style>
  <w:style w:type="paragraph" w:customStyle="1" w:styleId="Ttulo91">
    <w:name w:val="Título 91"/>
    <w:basedOn w:val="Normal"/>
    <w:next w:val="Normal"/>
    <w:qFormat/>
    <w:rsid w:val="006E524C"/>
    <w:pPr>
      <w:keepNext/>
      <w:outlineLvl w:val="8"/>
    </w:pPr>
    <w:rPr>
      <w:i/>
      <w:sz w:val="28"/>
      <w:lang w:val="es-MX"/>
    </w:rPr>
  </w:style>
  <w:style w:type="paragraph" w:customStyle="1" w:styleId="Epgrafe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rsid w:val="006E524C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qFormat/>
    <w:rsid w:val="006E52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qFormat/>
    <w:rsid w:val="006E52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Textoindependiente2">
    <w:name w:val="Body Text 2"/>
    <w:basedOn w:val="Normal"/>
    <w:qFormat/>
    <w:rsid w:val="006E524C"/>
    <w:rPr>
      <w:sz w:val="28"/>
      <w:lang w:val="es-MX"/>
    </w:rPr>
  </w:style>
  <w:style w:type="paragraph" w:styleId="Textoindependiente3">
    <w:name w:val="Body Text 3"/>
    <w:basedOn w:val="Normal"/>
    <w:qFormat/>
    <w:rsid w:val="006E524C"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customStyle="1" w:styleId="yiv8714062126m294091323008971570ydp9f750b63msonormal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07F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E524C"/>
  </w:style>
  <w:style w:type="numbering" w:customStyle="1" w:styleId="WW8Num2">
    <w:name w:val="WW8Num2"/>
    <w:qFormat/>
    <w:rsid w:val="006E524C"/>
  </w:style>
  <w:style w:type="numbering" w:customStyle="1" w:styleId="WW8Num3">
    <w:name w:val="WW8Num3"/>
    <w:qFormat/>
    <w:rsid w:val="006E524C"/>
  </w:style>
  <w:style w:type="numbering" w:customStyle="1" w:styleId="WW8Num4">
    <w:name w:val="WW8Num4"/>
    <w:qFormat/>
    <w:rsid w:val="006E524C"/>
  </w:style>
  <w:style w:type="numbering" w:customStyle="1" w:styleId="WW8Num5">
    <w:name w:val="WW8Num5"/>
    <w:qFormat/>
    <w:rsid w:val="006E524C"/>
  </w:style>
  <w:style w:type="numbering" w:customStyle="1" w:styleId="WW8Num6">
    <w:name w:val="WW8Num6"/>
    <w:qFormat/>
    <w:rsid w:val="006E524C"/>
  </w:style>
  <w:style w:type="numbering" w:customStyle="1" w:styleId="WW8Num7">
    <w:name w:val="WW8Num7"/>
    <w:qFormat/>
    <w:rsid w:val="006E524C"/>
  </w:style>
  <w:style w:type="numbering" w:customStyle="1" w:styleId="WW8Num8">
    <w:name w:val="WW8Num8"/>
    <w:qFormat/>
    <w:rsid w:val="006E5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4C"/>
    <w:rPr>
      <w:rFonts w:ascii="Times New Roman" w:eastAsia="Times New Roman" w:hAnsi="Times New Roman" w:cs="Times New Roman"/>
      <w:szCs w:val="20"/>
      <w:lang w:val="es-ES_tradnl" w:bidi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2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6E524C"/>
  </w:style>
  <w:style w:type="character" w:customStyle="1" w:styleId="WW8Num2z0">
    <w:name w:val="WW8Num2z0"/>
    <w:qFormat/>
    <w:rsid w:val="006E524C"/>
  </w:style>
  <w:style w:type="character" w:customStyle="1" w:styleId="WW8Num3z0">
    <w:name w:val="WW8Num3z0"/>
    <w:qFormat/>
    <w:rsid w:val="006E524C"/>
    <w:rPr>
      <w:b/>
    </w:rPr>
  </w:style>
  <w:style w:type="character" w:customStyle="1" w:styleId="WW8Num4z0">
    <w:name w:val="WW8Num4z0"/>
    <w:qFormat/>
    <w:rsid w:val="006E524C"/>
    <w:rPr>
      <w:b/>
      <w:i w:val="0"/>
      <w:u w:val="none"/>
    </w:rPr>
  </w:style>
  <w:style w:type="character" w:customStyle="1" w:styleId="WW8Num5z0">
    <w:name w:val="WW8Num5z0"/>
    <w:qFormat/>
    <w:rsid w:val="006E524C"/>
  </w:style>
  <w:style w:type="character" w:customStyle="1" w:styleId="WW8Num6z0">
    <w:name w:val="WW8Num6z0"/>
    <w:qFormat/>
    <w:rsid w:val="006E524C"/>
    <w:rPr>
      <w:rFonts w:ascii="Symbol" w:hAnsi="Symbol" w:cs="Symbol"/>
    </w:rPr>
  </w:style>
  <w:style w:type="character" w:customStyle="1" w:styleId="WW8Num7z0">
    <w:name w:val="WW8Num7z0"/>
    <w:qFormat/>
    <w:rsid w:val="006E524C"/>
  </w:style>
  <w:style w:type="character" w:customStyle="1" w:styleId="WW8Num8z0">
    <w:name w:val="WW8Num8z0"/>
    <w:qFormat/>
    <w:rsid w:val="006E524C"/>
  </w:style>
  <w:style w:type="character" w:customStyle="1" w:styleId="WW8NumSt6z0">
    <w:name w:val="WW8NumSt6z0"/>
    <w:qFormat/>
    <w:rsid w:val="006E524C"/>
    <w:rPr>
      <w:rFonts w:ascii="Symbol" w:hAnsi="Symbol" w:cs="Symbol"/>
    </w:rPr>
  </w:style>
  <w:style w:type="character" w:customStyle="1" w:styleId="EnlacedeInternet">
    <w:name w:val="Enlace de Internet"/>
    <w:rsid w:val="006E524C"/>
    <w:rPr>
      <w:color w:val="0000FF"/>
      <w:u w:val="single"/>
    </w:rPr>
  </w:style>
  <w:style w:type="character" w:customStyle="1" w:styleId="Destacado">
    <w:name w:val="Destacado"/>
    <w:qFormat/>
    <w:rsid w:val="006E524C"/>
    <w:rPr>
      <w:i/>
    </w:rPr>
  </w:style>
  <w:style w:type="character" w:customStyle="1" w:styleId="Muydestacado">
    <w:name w:val="Muy destacado"/>
    <w:qFormat/>
    <w:rsid w:val="006E524C"/>
    <w:rPr>
      <w:b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1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07F8"/>
    <w:rPr>
      <w:rFonts w:ascii="Tahoma" w:eastAsia="Times New Roman" w:hAnsi="Tahoma" w:cs="Tahoma"/>
      <w:sz w:val="16"/>
      <w:szCs w:val="16"/>
      <w:lang w:val="es-ES_tradnl" w:bidi="ar-SA"/>
    </w:rPr>
  </w:style>
  <w:style w:type="paragraph" w:styleId="Ttulo">
    <w:name w:val="Title"/>
    <w:basedOn w:val="Normal"/>
    <w:next w:val="Textoindependiente"/>
    <w:qFormat/>
    <w:rsid w:val="006E52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6E524C"/>
    <w:pPr>
      <w:jc w:val="both"/>
    </w:pPr>
  </w:style>
  <w:style w:type="paragraph" w:styleId="Lista">
    <w:name w:val="List"/>
    <w:basedOn w:val="Textoindependiente"/>
    <w:rsid w:val="006E524C"/>
    <w:rPr>
      <w:rFonts w:cs="Arial"/>
    </w:rPr>
  </w:style>
  <w:style w:type="paragraph" w:styleId="Epgrafe">
    <w:name w:val="caption"/>
    <w:basedOn w:val="Normal"/>
    <w:next w:val="Normal"/>
    <w:qFormat/>
    <w:rsid w:val="006E524C"/>
    <w:pPr>
      <w:jc w:val="center"/>
    </w:pPr>
    <w:rPr>
      <w:b/>
      <w:spacing w:val="40"/>
    </w:rPr>
  </w:style>
  <w:style w:type="paragraph" w:customStyle="1" w:styleId="ndice">
    <w:name w:val="Índice"/>
    <w:basedOn w:val="Normal"/>
    <w:qFormat/>
    <w:rsid w:val="006E524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qFormat/>
    <w:rsid w:val="006E524C"/>
    <w:pPr>
      <w:keepNext/>
      <w:outlineLvl w:val="0"/>
    </w:pPr>
    <w:rPr>
      <w:b/>
      <w:u w:val="single"/>
    </w:rPr>
  </w:style>
  <w:style w:type="paragraph" w:customStyle="1" w:styleId="Ttulo21">
    <w:name w:val="Título 21"/>
    <w:basedOn w:val="Normal"/>
    <w:next w:val="Normal"/>
    <w:qFormat/>
    <w:rsid w:val="006E524C"/>
    <w:pPr>
      <w:keepNext/>
      <w:outlineLvl w:val="1"/>
    </w:pPr>
  </w:style>
  <w:style w:type="paragraph" w:customStyle="1" w:styleId="Ttulo31">
    <w:name w:val="Título 31"/>
    <w:basedOn w:val="Normal"/>
    <w:next w:val="Normal"/>
    <w:qFormat/>
    <w:rsid w:val="006E524C"/>
    <w:pPr>
      <w:keepNext/>
      <w:jc w:val="right"/>
      <w:outlineLvl w:val="2"/>
    </w:pPr>
    <w:rPr>
      <w:sz w:val="28"/>
      <w:lang w:val="es-AR"/>
    </w:rPr>
  </w:style>
  <w:style w:type="paragraph" w:customStyle="1" w:styleId="Ttulo41">
    <w:name w:val="Título 41"/>
    <w:basedOn w:val="Normal"/>
    <w:next w:val="Normal"/>
    <w:qFormat/>
    <w:rsid w:val="006E524C"/>
    <w:pPr>
      <w:keepNext/>
      <w:outlineLvl w:val="3"/>
    </w:pPr>
    <w:rPr>
      <w:sz w:val="28"/>
    </w:rPr>
  </w:style>
  <w:style w:type="paragraph" w:customStyle="1" w:styleId="Ttulo51">
    <w:name w:val="Título 51"/>
    <w:basedOn w:val="Normal"/>
    <w:next w:val="Normal"/>
    <w:qFormat/>
    <w:rsid w:val="006E524C"/>
    <w:pPr>
      <w:keepNext/>
      <w:outlineLvl w:val="4"/>
    </w:pPr>
    <w:rPr>
      <w:b/>
      <w:sz w:val="28"/>
      <w:lang w:val="es-MX"/>
    </w:rPr>
  </w:style>
  <w:style w:type="paragraph" w:customStyle="1" w:styleId="Ttulo61">
    <w:name w:val="Título 61"/>
    <w:basedOn w:val="Normal"/>
    <w:next w:val="Normal"/>
    <w:qFormat/>
    <w:rsid w:val="006E524C"/>
    <w:pPr>
      <w:keepNext/>
      <w:outlineLvl w:val="5"/>
    </w:pPr>
    <w:rPr>
      <w:sz w:val="32"/>
      <w:lang w:val="es-MX"/>
    </w:rPr>
  </w:style>
  <w:style w:type="paragraph" w:customStyle="1" w:styleId="Ttulo71">
    <w:name w:val="Título 71"/>
    <w:basedOn w:val="Normal"/>
    <w:next w:val="Normal"/>
    <w:qFormat/>
    <w:rsid w:val="006E524C"/>
    <w:pPr>
      <w:keepNext/>
      <w:outlineLvl w:val="6"/>
    </w:pPr>
    <w:rPr>
      <w:sz w:val="28"/>
      <w:u w:val="single"/>
      <w:lang w:val="es-MX"/>
    </w:rPr>
  </w:style>
  <w:style w:type="paragraph" w:customStyle="1" w:styleId="Ttulo81">
    <w:name w:val="Título 81"/>
    <w:basedOn w:val="Normal"/>
    <w:next w:val="Normal"/>
    <w:qFormat/>
    <w:rsid w:val="006E524C"/>
    <w:pPr>
      <w:keepNext/>
      <w:outlineLvl w:val="7"/>
    </w:pPr>
    <w:rPr>
      <w:b/>
      <w:lang w:val="es-MX"/>
    </w:rPr>
  </w:style>
  <w:style w:type="paragraph" w:customStyle="1" w:styleId="Ttulo91">
    <w:name w:val="Título 91"/>
    <w:basedOn w:val="Normal"/>
    <w:next w:val="Normal"/>
    <w:qFormat/>
    <w:rsid w:val="006E524C"/>
    <w:pPr>
      <w:keepNext/>
      <w:outlineLvl w:val="8"/>
    </w:pPr>
    <w:rPr>
      <w:i/>
      <w:sz w:val="28"/>
      <w:lang w:val="es-MX"/>
    </w:rPr>
  </w:style>
  <w:style w:type="paragraph" w:customStyle="1" w:styleId="Epgrafe1">
    <w:name w:val="Epígrafe1"/>
    <w:basedOn w:val="Normal"/>
    <w:qFormat/>
    <w:rsid w:val="006E524C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rsid w:val="006E524C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qFormat/>
    <w:rsid w:val="006E52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qFormat/>
    <w:rsid w:val="006E524C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E524C"/>
    <w:pPr>
      <w:ind w:left="1416" w:firstLine="708"/>
      <w:jc w:val="both"/>
    </w:pPr>
    <w:rPr>
      <w:sz w:val="28"/>
      <w:lang w:val="es-AR"/>
    </w:rPr>
  </w:style>
  <w:style w:type="paragraph" w:styleId="Textoindependiente2">
    <w:name w:val="Body Text 2"/>
    <w:basedOn w:val="Normal"/>
    <w:qFormat/>
    <w:rsid w:val="006E524C"/>
    <w:rPr>
      <w:sz w:val="28"/>
      <w:lang w:val="es-MX"/>
    </w:rPr>
  </w:style>
  <w:style w:type="paragraph" w:styleId="Textoindependiente3">
    <w:name w:val="Body Text 3"/>
    <w:basedOn w:val="Normal"/>
    <w:qFormat/>
    <w:rsid w:val="006E524C"/>
    <w:rPr>
      <w:b/>
      <w:lang w:val="es-MX"/>
    </w:rPr>
  </w:style>
  <w:style w:type="paragraph" w:styleId="NormalWeb">
    <w:name w:val="Normal (Web)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customStyle="1" w:styleId="yiv8714062126m294091323008971570ydp9f750b63msonormal">
    <w:name w:val="yiv8714062126m_294091323008971570ydp9f750b63msonormal"/>
    <w:basedOn w:val="Normal"/>
    <w:qFormat/>
    <w:rsid w:val="006E524C"/>
    <w:pPr>
      <w:spacing w:before="100" w:after="100"/>
    </w:pPr>
    <w:rPr>
      <w:szCs w:val="24"/>
      <w:lang w:val="es-ES"/>
    </w:rPr>
  </w:style>
  <w:style w:type="paragraph" w:styleId="Encabezado">
    <w:name w:val="header"/>
    <w:basedOn w:val="Cabeceraypie"/>
  </w:style>
  <w:style w:type="paragraph" w:styleId="Piedepgina">
    <w:name w:val="footer"/>
    <w:basedOn w:val="Cabeceraypie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07F8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E524C"/>
  </w:style>
  <w:style w:type="numbering" w:customStyle="1" w:styleId="WW8Num2">
    <w:name w:val="WW8Num2"/>
    <w:qFormat/>
    <w:rsid w:val="006E524C"/>
  </w:style>
  <w:style w:type="numbering" w:customStyle="1" w:styleId="WW8Num3">
    <w:name w:val="WW8Num3"/>
    <w:qFormat/>
    <w:rsid w:val="006E524C"/>
  </w:style>
  <w:style w:type="numbering" w:customStyle="1" w:styleId="WW8Num4">
    <w:name w:val="WW8Num4"/>
    <w:qFormat/>
    <w:rsid w:val="006E524C"/>
  </w:style>
  <w:style w:type="numbering" w:customStyle="1" w:styleId="WW8Num5">
    <w:name w:val="WW8Num5"/>
    <w:qFormat/>
    <w:rsid w:val="006E524C"/>
  </w:style>
  <w:style w:type="numbering" w:customStyle="1" w:styleId="WW8Num6">
    <w:name w:val="WW8Num6"/>
    <w:qFormat/>
    <w:rsid w:val="006E524C"/>
  </w:style>
  <w:style w:type="numbering" w:customStyle="1" w:styleId="WW8Num7">
    <w:name w:val="WW8Num7"/>
    <w:qFormat/>
    <w:rsid w:val="006E524C"/>
  </w:style>
  <w:style w:type="numbering" w:customStyle="1" w:styleId="WW8Num8">
    <w:name w:val="WW8Num8"/>
    <w:qFormat/>
    <w:rsid w:val="006E5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CAA</dc:creator>
  <cp:lastModifiedBy>Roberto</cp:lastModifiedBy>
  <cp:revision>3</cp:revision>
  <cp:lastPrinted>2026-04-08T11:39:00Z</cp:lastPrinted>
  <dcterms:created xsi:type="dcterms:W3CDTF">2026-04-09T18:56:00Z</dcterms:created>
  <dcterms:modified xsi:type="dcterms:W3CDTF">2026-04-09T18:58:00Z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