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E0" w:rsidRDefault="00C63CE0">
      <w:pPr>
        <w:rPr>
          <w:lang w:val="es-MX"/>
        </w:rPr>
      </w:pPr>
    </w:p>
    <w:p w:rsidR="00C63CE0" w:rsidRDefault="00C63CE0">
      <w:pPr>
        <w:rPr>
          <w:b/>
          <w:bCs/>
          <w:sz w:val="52"/>
          <w:szCs w:val="52"/>
        </w:rPr>
      </w:pPr>
    </w:p>
    <w:p w:rsidR="00C63CE0" w:rsidRDefault="00AD38F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INFORMACION DE PRENSA</w:t>
      </w:r>
    </w:p>
    <w:p w:rsidR="00C63CE0" w:rsidRDefault="00C63CE0">
      <w:pPr>
        <w:rPr>
          <w:sz w:val="44"/>
          <w:szCs w:val="44"/>
        </w:rPr>
      </w:pPr>
    </w:p>
    <w:p w:rsidR="00C63CE0" w:rsidRDefault="00C63CE0">
      <w:pPr>
        <w:rPr>
          <w:b/>
          <w:sz w:val="44"/>
          <w:szCs w:val="44"/>
          <w:u w:val="single"/>
        </w:rPr>
      </w:pPr>
    </w:p>
    <w:p w:rsidR="00C63CE0" w:rsidRDefault="00AD38F1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EN ENERO SE COMERCIALIZARON 153.070 VEHÍCULOS USADOS</w:t>
      </w:r>
    </w:p>
    <w:p w:rsidR="00C63CE0" w:rsidRDefault="00C63CE0">
      <w:pPr>
        <w:rPr>
          <w:b/>
          <w:sz w:val="44"/>
          <w:szCs w:val="44"/>
          <w:u w:val="single"/>
        </w:rPr>
      </w:pPr>
    </w:p>
    <w:p w:rsidR="00C63CE0" w:rsidRDefault="00C63CE0">
      <w:pPr>
        <w:rPr>
          <w:b/>
          <w:sz w:val="44"/>
          <w:szCs w:val="44"/>
          <w:u w:val="single"/>
        </w:rPr>
      </w:pPr>
    </w:p>
    <w:p w:rsidR="003027AF" w:rsidRDefault="003027AF" w:rsidP="003027A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LAS PROVINCIAS QUE MÁS BAJARON CON RESPECTO A ENERO 2025 FUERON: </w:t>
      </w:r>
      <w:r w:rsidRPr="003027AF">
        <w:rPr>
          <w:b/>
          <w:sz w:val="44"/>
          <w:szCs w:val="44"/>
          <w:u w:val="single"/>
        </w:rPr>
        <w:t>M</w:t>
      </w:r>
      <w:r>
        <w:rPr>
          <w:b/>
          <w:sz w:val="44"/>
          <w:szCs w:val="44"/>
          <w:u w:val="single"/>
        </w:rPr>
        <w:t>ISIONES, LA RIOJA, SANTA CRUZ Y SALTA</w:t>
      </w:r>
    </w:p>
    <w:p w:rsidR="003027AF" w:rsidRDefault="003027AF">
      <w:pPr>
        <w:rPr>
          <w:b/>
          <w:sz w:val="44"/>
          <w:szCs w:val="44"/>
          <w:u w:val="single"/>
        </w:rPr>
      </w:pPr>
    </w:p>
    <w:p w:rsidR="003027AF" w:rsidRDefault="003027AF">
      <w:pPr>
        <w:rPr>
          <w:b/>
          <w:sz w:val="44"/>
          <w:szCs w:val="44"/>
          <w:u w:val="single"/>
        </w:rPr>
      </w:pPr>
    </w:p>
    <w:p w:rsidR="00C63CE0" w:rsidRDefault="003027AF" w:rsidP="003027A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LAS PROVINCIAS QUE MÁS CRECIERON CON RESPECTO A DICIEMBRE FUERON: </w:t>
      </w:r>
      <w:r w:rsidRPr="003027AF">
        <w:rPr>
          <w:b/>
          <w:sz w:val="44"/>
          <w:szCs w:val="44"/>
          <w:u w:val="single"/>
        </w:rPr>
        <w:t>C</w:t>
      </w:r>
      <w:r>
        <w:rPr>
          <w:b/>
          <w:sz w:val="44"/>
          <w:szCs w:val="44"/>
          <w:u w:val="single"/>
        </w:rPr>
        <w:t>ATAMARCA, JUJUY, CHACO Y FORMOSA</w:t>
      </w:r>
    </w:p>
    <w:p w:rsidR="00C63CE0" w:rsidRDefault="00C63CE0">
      <w:pPr>
        <w:rPr>
          <w:b/>
          <w:sz w:val="44"/>
          <w:szCs w:val="44"/>
          <w:u w:val="single"/>
        </w:rPr>
      </w:pPr>
    </w:p>
    <w:p w:rsidR="00C63CE0" w:rsidRDefault="00C63CE0">
      <w:pPr>
        <w:rPr>
          <w:b/>
          <w:sz w:val="44"/>
          <w:szCs w:val="44"/>
          <w:u w:val="single"/>
        </w:rPr>
      </w:pPr>
    </w:p>
    <w:p w:rsidR="00C63CE0" w:rsidRDefault="00C63CE0">
      <w:pPr>
        <w:rPr>
          <w:b/>
          <w:sz w:val="44"/>
          <w:szCs w:val="44"/>
          <w:u w:val="single"/>
        </w:rPr>
      </w:pPr>
    </w:p>
    <w:p w:rsidR="003027AF" w:rsidRDefault="003027AF">
      <w:pPr>
        <w:rPr>
          <w:sz w:val="40"/>
          <w:szCs w:val="40"/>
        </w:rPr>
      </w:pPr>
    </w:p>
    <w:p w:rsidR="003027AF" w:rsidRDefault="003027AF">
      <w:pPr>
        <w:rPr>
          <w:sz w:val="40"/>
          <w:szCs w:val="40"/>
        </w:rPr>
      </w:pPr>
    </w:p>
    <w:p w:rsidR="00C63CE0" w:rsidRDefault="00AD38F1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La Cámara del Comercio Automotor (CCA), informó que en enero se vendieron 153.070 vehículos usados, una baja del 9,98% con respecto a igual mes del año pasado cuando se comercializaron 170.046 unidades. </w:t>
      </w:r>
    </w:p>
    <w:p w:rsidR="00C63CE0" w:rsidRDefault="00C63CE0">
      <w:pPr>
        <w:rPr>
          <w:b/>
          <w:sz w:val="40"/>
          <w:szCs w:val="40"/>
        </w:rPr>
      </w:pPr>
    </w:p>
    <w:p w:rsidR="00C63CE0" w:rsidRDefault="00C63CE0">
      <w:pPr>
        <w:rPr>
          <w:b/>
          <w:sz w:val="40"/>
          <w:szCs w:val="40"/>
        </w:rPr>
      </w:pPr>
    </w:p>
    <w:p w:rsidR="00B658C9" w:rsidRDefault="00B658C9">
      <w:pPr>
        <w:rPr>
          <w:sz w:val="40"/>
          <w:szCs w:val="40"/>
        </w:rPr>
      </w:pPr>
    </w:p>
    <w:p w:rsidR="00C63CE0" w:rsidRPr="00185FAE" w:rsidRDefault="00AD38F1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Con respecto a diciembre (151.994 unidades), la suba fue de apenas un 0,71%.</w:t>
      </w:r>
    </w:p>
    <w:p w:rsidR="00C63CE0" w:rsidRDefault="00C63CE0">
      <w:pPr>
        <w:rPr>
          <w:sz w:val="40"/>
          <w:szCs w:val="40"/>
        </w:rPr>
      </w:pPr>
    </w:p>
    <w:p w:rsidR="00C63CE0" w:rsidRDefault="00C63CE0">
      <w:pPr>
        <w:rPr>
          <w:sz w:val="40"/>
          <w:szCs w:val="40"/>
        </w:rPr>
      </w:pPr>
    </w:p>
    <w:p w:rsidR="00B658C9" w:rsidRDefault="00B658C9">
      <w:pPr>
        <w:rPr>
          <w:sz w:val="40"/>
          <w:szCs w:val="40"/>
        </w:rPr>
      </w:pPr>
    </w:p>
    <w:p w:rsidR="00B658C9" w:rsidRDefault="00B658C9">
      <w:pPr>
        <w:rPr>
          <w:sz w:val="40"/>
          <w:szCs w:val="40"/>
        </w:rPr>
      </w:pP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El Volkswagen Gol sigue encabezando la preferencia de la gente al adquirir un auto usado.</w:t>
      </w:r>
      <w:r w:rsidR="009E5691">
        <w:rPr>
          <w:sz w:val="40"/>
          <w:szCs w:val="40"/>
        </w:rPr>
        <w:t xml:space="preserve"> Se vendieron 8.601 unidades.</w:t>
      </w:r>
    </w:p>
    <w:p w:rsidR="00C63CE0" w:rsidRDefault="00C63CE0">
      <w:pPr>
        <w:rPr>
          <w:b/>
          <w:sz w:val="44"/>
          <w:szCs w:val="44"/>
          <w:u w:val="single"/>
        </w:rPr>
      </w:pPr>
    </w:p>
    <w:p w:rsidR="00C63CE0" w:rsidRDefault="00C63CE0">
      <w:pPr>
        <w:rPr>
          <w:b/>
          <w:sz w:val="40"/>
          <w:szCs w:val="40"/>
          <w:u w:val="single"/>
        </w:rPr>
      </w:pPr>
    </w:p>
    <w:p w:rsidR="00C63CE0" w:rsidRDefault="00C63CE0">
      <w:pPr>
        <w:rPr>
          <w:b/>
          <w:sz w:val="40"/>
          <w:szCs w:val="40"/>
        </w:rPr>
      </w:pPr>
    </w:p>
    <w:p w:rsidR="00C63CE0" w:rsidRDefault="00C63CE0">
      <w:pPr>
        <w:rPr>
          <w:b/>
          <w:sz w:val="40"/>
          <w:szCs w:val="40"/>
          <w:u w:val="single"/>
        </w:rPr>
      </w:pPr>
    </w:p>
    <w:p w:rsidR="00185FAE" w:rsidRDefault="00185FAE">
      <w:pPr>
        <w:rPr>
          <w:b/>
          <w:sz w:val="40"/>
          <w:szCs w:val="40"/>
        </w:rPr>
      </w:pPr>
    </w:p>
    <w:p w:rsidR="00185FAE" w:rsidRDefault="00185FAE">
      <w:pPr>
        <w:rPr>
          <w:b/>
          <w:sz w:val="40"/>
          <w:szCs w:val="40"/>
        </w:rPr>
      </w:pPr>
    </w:p>
    <w:p w:rsidR="00C63CE0" w:rsidRPr="00DF36D8" w:rsidRDefault="00AD38F1">
      <w:pPr>
        <w:rPr>
          <w:b/>
          <w:sz w:val="40"/>
          <w:szCs w:val="40"/>
          <w:u w:val="single"/>
        </w:rPr>
      </w:pPr>
      <w:r w:rsidRPr="00DF36D8">
        <w:rPr>
          <w:b/>
          <w:sz w:val="40"/>
          <w:szCs w:val="40"/>
          <w:u w:val="single"/>
        </w:rPr>
        <w:t>DECLARACIONES DE ALEJANDRO LAMAS, SECRETARIO DE LA CCA</w:t>
      </w:r>
    </w:p>
    <w:p w:rsidR="00C63CE0" w:rsidRDefault="00C63CE0">
      <w:pPr>
        <w:rPr>
          <w:sz w:val="40"/>
          <w:szCs w:val="40"/>
        </w:rPr>
      </w:pPr>
    </w:p>
    <w:p w:rsidR="00397B51" w:rsidRPr="00397B51" w:rsidRDefault="00397B51" w:rsidP="00397B51">
      <w:pPr>
        <w:rPr>
          <w:sz w:val="40"/>
          <w:szCs w:val="40"/>
        </w:rPr>
      </w:pPr>
      <w:r>
        <w:rPr>
          <w:sz w:val="40"/>
          <w:szCs w:val="40"/>
        </w:rPr>
        <w:t>“Comenzó</w:t>
      </w:r>
      <w:r w:rsidRPr="00397B51">
        <w:rPr>
          <w:sz w:val="40"/>
          <w:szCs w:val="40"/>
        </w:rPr>
        <w:t xml:space="preserve"> el año 2026 y sabem</w:t>
      </w:r>
      <w:r>
        <w:rPr>
          <w:sz w:val="40"/>
          <w:szCs w:val="40"/>
        </w:rPr>
        <w:t>os que va a ser muy competitivo. L</w:t>
      </w:r>
      <w:r w:rsidRPr="00397B51">
        <w:rPr>
          <w:sz w:val="40"/>
          <w:szCs w:val="40"/>
        </w:rPr>
        <w:t xml:space="preserve">a llegada de la primera ola de autos chinos al país </w:t>
      </w:r>
      <w:r>
        <w:rPr>
          <w:sz w:val="40"/>
          <w:szCs w:val="40"/>
        </w:rPr>
        <w:t>h</w:t>
      </w:r>
      <w:r w:rsidRPr="00397B51">
        <w:rPr>
          <w:sz w:val="40"/>
          <w:szCs w:val="40"/>
        </w:rPr>
        <w:t>a movilizado de forma importante a</w:t>
      </w:r>
      <w:r>
        <w:rPr>
          <w:sz w:val="40"/>
          <w:szCs w:val="40"/>
        </w:rPr>
        <w:t>l mercado”, dijo Alejandro Lamas</w:t>
      </w:r>
      <w:r w:rsidRPr="00397B51">
        <w:rPr>
          <w:sz w:val="40"/>
          <w:szCs w:val="40"/>
        </w:rPr>
        <w:t xml:space="preserve">, secretario de la </w:t>
      </w:r>
      <w:r>
        <w:rPr>
          <w:sz w:val="40"/>
          <w:szCs w:val="40"/>
        </w:rPr>
        <w:t>Cámara del Comercio Automotor (</w:t>
      </w:r>
      <w:r w:rsidRPr="00397B51">
        <w:rPr>
          <w:sz w:val="40"/>
          <w:szCs w:val="40"/>
        </w:rPr>
        <w:t>CCA</w:t>
      </w:r>
      <w:r>
        <w:rPr>
          <w:sz w:val="40"/>
          <w:szCs w:val="40"/>
        </w:rPr>
        <w:t>)</w:t>
      </w:r>
      <w:r w:rsidRPr="00397B51">
        <w:rPr>
          <w:sz w:val="40"/>
          <w:szCs w:val="40"/>
        </w:rPr>
        <w:t>.</w:t>
      </w:r>
    </w:p>
    <w:p w:rsidR="00397B51" w:rsidRDefault="00397B51" w:rsidP="00397B51">
      <w:pPr>
        <w:rPr>
          <w:sz w:val="40"/>
          <w:szCs w:val="40"/>
        </w:rPr>
      </w:pPr>
    </w:p>
    <w:p w:rsidR="00397B51" w:rsidRPr="00397B51" w:rsidRDefault="00397B51" w:rsidP="00397B51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Pr="00397B51">
        <w:rPr>
          <w:sz w:val="40"/>
          <w:szCs w:val="40"/>
        </w:rPr>
        <w:t xml:space="preserve">Los nuevos jugadores ofrecen autos baratos en términos </w:t>
      </w:r>
      <w:r>
        <w:rPr>
          <w:sz w:val="40"/>
          <w:szCs w:val="40"/>
        </w:rPr>
        <w:t>locales y con buen equipamiento, especialmente en hí</w:t>
      </w:r>
      <w:r w:rsidRPr="00397B51">
        <w:rPr>
          <w:sz w:val="40"/>
          <w:szCs w:val="40"/>
        </w:rPr>
        <w:t>bridos y eléctricos.</w:t>
      </w:r>
      <w:r>
        <w:rPr>
          <w:sz w:val="40"/>
          <w:szCs w:val="40"/>
        </w:rPr>
        <w:t xml:space="preserve"> </w:t>
      </w:r>
      <w:r w:rsidRPr="00397B51">
        <w:rPr>
          <w:sz w:val="40"/>
          <w:szCs w:val="40"/>
        </w:rPr>
        <w:t>La pregunta que nos ten</w:t>
      </w:r>
      <w:r w:rsidR="00600DE2">
        <w:rPr>
          <w:sz w:val="40"/>
          <w:szCs w:val="40"/>
        </w:rPr>
        <w:t>emos que hacer es cuanto logrará</w:t>
      </w:r>
      <w:r w:rsidRPr="00397B51">
        <w:rPr>
          <w:sz w:val="40"/>
          <w:szCs w:val="40"/>
        </w:rPr>
        <w:t>n modificar a</w:t>
      </w:r>
      <w:r w:rsidR="00600DE2">
        <w:rPr>
          <w:sz w:val="40"/>
          <w:szCs w:val="40"/>
        </w:rPr>
        <w:t>l mercado tal cual lo conocemos. L</w:t>
      </w:r>
      <w:r w:rsidRPr="00397B51">
        <w:rPr>
          <w:sz w:val="40"/>
          <w:szCs w:val="40"/>
        </w:rPr>
        <w:t>o veremos a medida que vaya transcurriendo el tiempo</w:t>
      </w:r>
      <w:r w:rsidR="00600DE2">
        <w:rPr>
          <w:sz w:val="40"/>
          <w:szCs w:val="40"/>
        </w:rPr>
        <w:t>”, expresó el directivo</w:t>
      </w:r>
      <w:r w:rsidRPr="00397B51">
        <w:rPr>
          <w:sz w:val="40"/>
          <w:szCs w:val="40"/>
        </w:rPr>
        <w:t>.</w:t>
      </w:r>
    </w:p>
    <w:p w:rsidR="00600DE2" w:rsidRDefault="00600DE2" w:rsidP="00397B51">
      <w:pPr>
        <w:rPr>
          <w:sz w:val="40"/>
          <w:szCs w:val="40"/>
        </w:rPr>
      </w:pPr>
    </w:p>
    <w:p w:rsidR="00397B51" w:rsidRPr="00397B51" w:rsidRDefault="00600DE2" w:rsidP="00397B51">
      <w:pPr>
        <w:rPr>
          <w:sz w:val="40"/>
          <w:szCs w:val="40"/>
        </w:rPr>
      </w:pPr>
      <w:r>
        <w:rPr>
          <w:sz w:val="40"/>
          <w:szCs w:val="40"/>
        </w:rPr>
        <w:t>“Pese a la baja del mes de enero</w:t>
      </w:r>
      <w:r w:rsidR="00397B51" w:rsidRPr="00397B51">
        <w:rPr>
          <w:sz w:val="40"/>
          <w:szCs w:val="40"/>
        </w:rPr>
        <w:t xml:space="preserve">, medida en términos interanuales, esperamos otro buen año similar a lo que paso </w:t>
      </w:r>
      <w:r>
        <w:rPr>
          <w:sz w:val="40"/>
          <w:szCs w:val="40"/>
        </w:rPr>
        <w:t>durante el año pasado, aunque aú</w:t>
      </w:r>
      <w:r w:rsidR="00397B51" w:rsidRPr="00397B51">
        <w:rPr>
          <w:sz w:val="40"/>
          <w:szCs w:val="40"/>
        </w:rPr>
        <w:t>n no debemos apresurarnos hasta que por lo menos  haya transcurrido el primer trimestre</w:t>
      </w:r>
      <w:r>
        <w:rPr>
          <w:sz w:val="40"/>
          <w:szCs w:val="40"/>
        </w:rPr>
        <w:t>”, mencionó Lamas</w:t>
      </w:r>
      <w:r w:rsidR="00397B51" w:rsidRPr="00397B51">
        <w:rPr>
          <w:sz w:val="40"/>
          <w:szCs w:val="40"/>
        </w:rPr>
        <w:t>.</w:t>
      </w:r>
    </w:p>
    <w:p w:rsidR="00600DE2" w:rsidRDefault="00600DE2" w:rsidP="00397B51">
      <w:pPr>
        <w:rPr>
          <w:sz w:val="40"/>
          <w:szCs w:val="40"/>
        </w:rPr>
      </w:pPr>
    </w:p>
    <w:p w:rsidR="003027AF" w:rsidRDefault="003027AF" w:rsidP="00397B51">
      <w:pPr>
        <w:rPr>
          <w:sz w:val="40"/>
          <w:szCs w:val="40"/>
        </w:rPr>
      </w:pPr>
    </w:p>
    <w:p w:rsidR="00AE1A95" w:rsidRDefault="00600DE2" w:rsidP="00397B5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“Un tema a </w:t>
      </w:r>
      <w:r w:rsidR="00397B51" w:rsidRPr="00397B51">
        <w:rPr>
          <w:sz w:val="40"/>
          <w:szCs w:val="40"/>
        </w:rPr>
        <w:t>destacar</w:t>
      </w:r>
      <w:r>
        <w:rPr>
          <w:sz w:val="40"/>
          <w:szCs w:val="40"/>
        </w:rPr>
        <w:t xml:space="preserve">, es que este año </w:t>
      </w:r>
      <w:r w:rsidR="00397B51" w:rsidRPr="00397B51">
        <w:rPr>
          <w:sz w:val="40"/>
          <w:szCs w:val="40"/>
        </w:rPr>
        <w:t>la financiación será un factor determinante a la hora de concretar operaciones</w:t>
      </w:r>
      <w:r>
        <w:rPr>
          <w:sz w:val="40"/>
          <w:szCs w:val="40"/>
        </w:rPr>
        <w:t>. Los bancos deberán ofrecer tasas acorde a las necesidades del sector</w:t>
      </w:r>
      <w:r w:rsidR="006003E6">
        <w:rPr>
          <w:sz w:val="40"/>
          <w:szCs w:val="40"/>
        </w:rPr>
        <w:t xml:space="preserve"> y esto contribuirá a que el mercado concrete un mayor volumen de ventas”, finalizó.</w:t>
      </w:r>
    </w:p>
    <w:p w:rsidR="00397B51" w:rsidRPr="00AE1A95" w:rsidRDefault="00397B51" w:rsidP="00397B51">
      <w:pPr>
        <w:rPr>
          <w:sz w:val="40"/>
          <w:szCs w:val="40"/>
        </w:rPr>
      </w:pPr>
    </w:p>
    <w:p w:rsidR="00397B51" w:rsidRDefault="00397B51" w:rsidP="00AE1A95">
      <w:pPr>
        <w:rPr>
          <w:sz w:val="40"/>
          <w:szCs w:val="40"/>
        </w:rPr>
      </w:pPr>
    </w:p>
    <w:p w:rsidR="00C63CE0" w:rsidRPr="00AE1A95" w:rsidRDefault="00AD38F1">
      <w:pPr>
        <w:rPr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RANKING 10 AUTOS USADOS MES DE ENERO</w:t>
      </w:r>
    </w:p>
    <w:p w:rsidR="00C63CE0" w:rsidRDefault="00C63CE0">
      <w:pPr>
        <w:rPr>
          <w:sz w:val="40"/>
          <w:szCs w:val="40"/>
          <w:lang w:val="es-AR"/>
        </w:rPr>
      </w:pP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VW Gol y </w:t>
      </w:r>
      <w:proofErr w:type="spellStart"/>
      <w:r>
        <w:rPr>
          <w:sz w:val="40"/>
          <w:szCs w:val="40"/>
          <w:lang w:val="es-AR"/>
        </w:rPr>
        <w:t>Trend</w:t>
      </w:r>
      <w:proofErr w:type="spellEnd"/>
      <w:r>
        <w:rPr>
          <w:sz w:val="40"/>
          <w:szCs w:val="40"/>
          <w:lang w:val="es-AR"/>
        </w:rPr>
        <w:t>: 8.601</w:t>
      </w: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Toyota </w:t>
      </w:r>
      <w:proofErr w:type="spellStart"/>
      <w:r>
        <w:rPr>
          <w:sz w:val="40"/>
          <w:szCs w:val="40"/>
          <w:lang w:val="es-AR"/>
        </w:rPr>
        <w:t>Hilux</w:t>
      </w:r>
      <w:proofErr w:type="spellEnd"/>
      <w:r>
        <w:rPr>
          <w:sz w:val="40"/>
          <w:szCs w:val="40"/>
          <w:lang w:val="es-AR"/>
        </w:rPr>
        <w:t>: 5.974</w:t>
      </w: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Chevrolet Corsa y </w:t>
      </w:r>
      <w:proofErr w:type="spellStart"/>
      <w:r>
        <w:rPr>
          <w:sz w:val="40"/>
          <w:szCs w:val="40"/>
          <w:lang w:val="es-AR"/>
        </w:rPr>
        <w:t>Classic</w:t>
      </w:r>
      <w:proofErr w:type="spellEnd"/>
      <w:r>
        <w:rPr>
          <w:sz w:val="40"/>
          <w:szCs w:val="40"/>
          <w:lang w:val="es-AR"/>
        </w:rPr>
        <w:t>: 4.357</w:t>
      </w: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Ford </w:t>
      </w:r>
      <w:proofErr w:type="spellStart"/>
      <w:r>
        <w:rPr>
          <w:sz w:val="40"/>
          <w:szCs w:val="40"/>
          <w:lang w:val="es-AR"/>
        </w:rPr>
        <w:t>Ranger</w:t>
      </w:r>
      <w:proofErr w:type="spellEnd"/>
      <w:r>
        <w:rPr>
          <w:sz w:val="40"/>
          <w:szCs w:val="40"/>
          <w:lang w:val="es-AR"/>
        </w:rPr>
        <w:t>: 4.127</w:t>
      </w: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VW </w:t>
      </w:r>
      <w:proofErr w:type="spellStart"/>
      <w:r>
        <w:rPr>
          <w:sz w:val="40"/>
          <w:szCs w:val="40"/>
          <w:lang w:val="es-AR"/>
        </w:rPr>
        <w:t>Amarok</w:t>
      </w:r>
      <w:proofErr w:type="spellEnd"/>
      <w:r>
        <w:rPr>
          <w:sz w:val="40"/>
          <w:szCs w:val="40"/>
          <w:lang w:val="es-AR"/>
        </w:rPr>
        <w:t>: 4.120</w:t>
      </w: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Ford </w:t>
      </w:r>
      <w:proofErr w:type="spellStart"/>
      <w:r>
        <w:rPr>
          <w:sz w:val="40"/>
          <w:szCs w:val="40"/>
          <w:lang w:val="es-AR"/>
        </w:rPr>
        <w:t>EcoSport</w:t>
      </w:r>
      <w:proofErr w:type="spellEnd"/>
      <w:r>
        <w:rPr>
          <w:sz w:val="40"/>
          <w:szCs w:val="40"/>
          <w:lang w:val="es-AR"/>
        </w:rPr>
        <w:t>: 3.360</w:t>
      </w: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Peugeot 208: 3.325</w:t>
      </w: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Toyota </w:t>
      </w:r>
      <w:proofErr w:type="spellStart"/>
      <w:r>
        <w:rPr>
          <w:sz w:val="40"/>
          <w:szCs w:val="40"/>
          <w:lang w:val="es-AR"/>
        </w:rPr>
        <w:t>Corolla</w:t>
      </w:r>
      <w:proofErr w:type="spellEnd"/>
      <w:r>
        <w:rPr>
          <w:sz w:val="40"/>
          <w:szCs w:val="40"/>
          <w:lang w:val="es-AR"/>
        </w:rPr>
        <w:t>: 3.032</w:t>
      </w:r>
    </w:p>
    <w:p w:rsidR="00C63CE0" w:rsidRDefault="00AD38F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Fiat Palio: 2.938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Ford </w:t>
      </w:r>
      <w:proofErr w:type="spellStart"/>
      <w:r>
        <w:rPr>
          <w:bCs/>
          <w:sz w:val="40"/>
          <w:szCs w:val="40"/>
          <w:lang w:val="es-AR"/>
        </w:rPr>
        <w:t>Ka</w:t>
      </w:r>
      <w:proofErr w:type="spellEnd"/>
      <w:r>
        <w:rPr>
          <w:bCs/>
          <w:sz w:val="40"/>
          <w:szCs w:val="40"/>
          <w:lang w:val="es-AR"/>
        </w:rPr>
        <w:t>: 2.876</w:t>
      </w:r>
    </w:p>
    <w:p w:rsidR="00C63CE0" w:rsidRDefault="00C63CE0">
      <w:pPr>
        <w:rPr>
          <w:b/>
          <w:bCs/>
          <w:sz w:val="40"/>
          <w:szCs w:val="40"/>
          <w:lang w:val="es-AR"/>
        </w:rPr>
      </w:pPr>
    </w:p>
    <w:p w:rsidR="003027AF" w:rsidRDefault="003027AF">
      <w:pPr>
        <w:rPr>
          <w:b/>
          <w:bCs/>
          <w:sz w:val="40"/>
          <w:szCs w:val="40"/>
          <w:u w:val="single"/>
          <w:lang w:val="es-AR"/>
        </w:rPr>
      </w:pPr>
    </w:p>
    <w:p w:rsidR="003027AF" w:rsidRDefault="003027AF">
      <w:pPr>
        <w:rPr>
          <w:b/>
          <w:bCs/>
          <w:sz w:val="40"/>
          <w:szCs w:val="40"/>
          <w:u w:val="single"/>
          <w:lang w:val="es-AR"/>
        </w:rPr>
      </w:pPr>
    </w:p>
    <w:p w:rsidR="003027AF" w:rsidRDefault="003027AF">
      <w:pPr>
        <w:rPr>
          <w:b/>
          <w:bCs/>
          <w:sz w:val="40"/>
          <w:szCs w:val="40"/>
          <w:u w:val="single"/>
          <w:lang w:val="es-AR"/>
        </w:rPr>
      </w:pPr>
    </w:p>
    <w:p w:rsidR="00C63CE0" w:rsidRDefault="00AD38F1">
      <w:pPr>
        <w:rPr>
          <w:b/>
          <w:bCs/>
          <w:sz w:val="40"/>
          <w:szCs w:val="40"/>
          <w:u w:val="single"/>
          <w:lang w:val="es-AR"/>
        </w:rPr>
      </w:pPr>
      <w:r>
        <w:rPr>
          <w:b/>
          <w:bCs/>
          <w:sz w:val="40"/>
          <w:szCs w:val="40"/>
          <w:u w:val="single"/>
          <w:lang w:val="es-AR"/>
        </w:rPr>
        <w:t>PORCENTAJE DE BAJA EN PROVINCIAS ENERO 2026-ENERO 2025</w:t>
      </w:r>
    </w:p>
    <w:p w:rsidR="00C63CE0" w:rsidRDefault="00C63CE0">
      <w:pPr>
        <w:rPr>
          <w:b/>
          <w:bCs/>
          <w:sz w:val="40"/>
          <w:szCs w:val="40"/>
          <w:u w:val="single"/>
          <w:lang w:val="es-AR"/>
        </w:rPr>
      </w:pP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Misiones: -21,30%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La Rioja: -19,90%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Santa Cruz: 18,90%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Salta: -16,30%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La Pampa: -14,27%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San Luis: -13,58%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Tucumán: -13,02%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CABA: -11,09%</w:t>
      </w:r>
    </w:p>
    <w:p w:rsidR="00C63CE0" w:rsidRDefault="00AD38F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Pcia</w:t>
      </w:r>
      <w:proofErr w:type="spellEnd"/>
      <w:r>
        <w:rPr>
          <w:sz w:val="40"/>
          <w:szCs w:val="40"/>
        </w:rPr>
        <w:t>. Bs.As.: -10,99%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Chubut: -10,99%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Tierra del Fuego: -9,91%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Catamarca: -9,74%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Córdoba: -8,97%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Chaco: -8,77%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Corrientes: -8,69%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Río Negro: -8,08%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Entre Ríos: -8,07%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Formosa: -7,80%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San Juan: -7,63%</w:t>
      </w:r>
    </w:p>
    <w:p w:rsidR="003027AF" w:rsidRDefault="003027AF">
      <w:pPr>
        <w:rPr>
          <w:sz w:val="40"/>
          <w:szCs w:val="40"/>
        </w:rPr>
      </w:pPr>
    </w:p>
    <w:p w:rsidR="003027AF" w:rsidRDefault="003027AF">
      <w:pPr>
        <w:rPr>
          <w:sz w:val="40"/>
          <w:szCs w:val="40"/>
        </w:rPr>
      </w:pP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Neuquén: -6,93%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Jujuy: -6,82%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Santiago del Estero: -5,97%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Santa Fe: -5,66%</w:t>
      </w:r>
    </w:p>
    <w:p w:rsidR="00C63CE0" w:rsidRDefault="00AD38F1">
      <w:pPr>
        <w:rPr>
          <w:sz w:val="40"/>
          <w:szCs w:val="40"/>
        </w:rPr>
      </w:pPr>
      <w:r>
        <w:rPr>
          <w:sz w:val="40"/>
          <w:szCs w:val="40"/>
        </w:rPr>
        <w:t>Mendoza: -4,37%</w:t>
      </w:r>
    </w:p>
    <w:p w:rsidR="00C63CE0" w:rsidRDefault="00C63CE0">
      <w:pPr>
        <w:rPr>
          <w:sz w:val="40"/>
          <w:szCs w:val="40"/>
        </w:rPr>
      </w:pPr>
    </w:p>
    <w:p w:rsidR="00C63CE0" w:rsidRDefault="00AD38F1">
      <w:pPr>
        <w:rPr>
          <w:b/>
          <w:bCs/>
          <w:u w:val="single"/>
        </w:rPr>
      </w:pPr>
      <w:r>
        <w:rPr>
          <w:b/>
          <w:bCs/>
          <w:sz w:val="40"/>
          <w:szCs w:val="40"/>
          <w:u w:val="single"/>
          <w:lang w:val="es-AR"/>
        </w:rPr>
        <w:t>PROVINCIAS QUE CRECIERON EN ENERO CON RESPECTO A DICIEMBRE 2025</w:t>
      </w:r>
    </w:p>
    <w:p w:rsidR="00C63CE0" w:rsidRDefault="00C63CE0">
      <w:pPr>
        <w:rPr>
          <w:sz w:val="40"/>
          <w:szCs w:val="40"/>
          <w:lang w:val="es-AR"/>
        </w:rPr>
      </w:pP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Catamarca: 22,98%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Jujuy: 18,87%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Chaco: 17,47%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Formosa: 12,90%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Corrientes: 10,23%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Misiones: 6,97%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Tucumán: 4,84%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Entre Ríos: 4,53%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Pampa: 3,18%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Salta: 2,51%</w:t>
      </w:r>
    </w:p>
    <w:p w:rsidR="00C63CE0" w:rsidRDefault="00AD38F1">
      <w:pPr>
        <w:rPr>
          <w:bCs/>
          <w:sz w:val="40"/>
          <w:szCs w:val="40"/>
          <w:lang w:val="es-AR"/>
        </w:rPr>
      </w:pPr>
      <w:proofErr w:type="spellStart"/>
      <w:r>
        <w:rPr>
          <w:bCs/>
          <w:sz w:val="40"/>
          <w:szCs w:val="40"/>
          <w:lang w:val="es-AR"/>
        </w:rPr>
        <w:t>Pcia</w:t>
      </w:r>
      <w:proofErr w:type="spellEnd"/>
      <w:r>
        <w:rPr>
          <w:bCs/>
          <w:sz w:val="40"/>
          <w:szCs w:val="40"/>
          <w:lang w:val="es-AR"/>
        </w:rPr>
        <w:t>. Bs.As.: 1,87%</w:t>
      </w:r>
    </w:p>
    <w:p w:rsidR="00C63CE0" w:rsidRDefault="00AD38F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Mendoza: 1,18%</w:t>
      </w: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AD38F1">
      <w:pPr>
        <w:rPr>
          <w:b/>
          <w:bCs/>
          <w:sz w:val="40"/>
          <w:szCs w:val="40"/>
          <w:lang w:val="es-AR"/>
        </w:rPr>
      </w:pPr>
      <w:r>
        <w:rPr>
          <w:b/>
          <w:bCs/>
          <w:sz w:val="40"/>
          <w:szCs w:val="40"/>
          <w:lang w:val="es-AR"/>
        </w:rPr>
        <w:t>Buenos Aires, febrero 2026</w:t>
      </w: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Cs/>
          <w:sz w:val="40"/>
          <w:szCs w:val="40"/>
          <w:lang w:val="es-AR"/>
        </w:rPr>
      </w:pPr>
    </w:p>
    <w:p w:rsidR="00C63CE0" w:rsidRDefault="00C63CE0">
      <w:pPr>
        <w:rPr>
          <w:b/>
          <w:bCs/>
          <w:sz w:val="40"/>
          <w:szCs w:val="40"/>
        </w:rPr>
      </w:pPr>
    </w:p>
    <w:sectPr w:rsidR="00C63CE0">
      <w:headerReference w:type="default" r:id="rId7"/>
      <w:footerReference w:type="default" r:id="rId8"/>
      <w:pgSz w:w="12240" w:h="15840"/>
      <w:pgMar w:top="777" w:right="1418" w:bottom="1559" w:left="1418" w:header="720" w:footer="129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E6" w:rsidRDefault="00796CE6">
      <w:r>
        <w:separator/>
      </w:r>
    </w:p>
  </w:endnote>
  <w:endnote w:type="continuationSeparator" w:id="0">
    <w:p w:rsidR="00796CE6" w:rsidRDefault="0079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E0" w:rsidRDefault="00AD38F1">
    <w:pPr>
      <w:spacing w:before="120"/>
      <w:jc w:val="center"/>
      <w:rPr>
        <w:sz w:val="20"/>
      </w:rPr>
    </w:pPr>
    <w:r>
      <w:rPr>
        <w:sz w:val="20"/>
      </w:rPr>
      <w:t>SOLER 3909 - (1425)  BUENOS AIRES   TEL. 4824-7272/9505/9498/9489   FAX. 4822-7453  4823-1837</w:t>
    </w:r>
  </w:p>
  <w:p w:rsidR="00C63CE0" w:rsidRDefault="00AD38F1">
    <w:pPr>
      <w:pStyle w:val="Piedepgina1"/>
    </w:pPr>
    <w:r>
      <w:tab/>
      <w:t>http://www.cca.org.ar---- e-mail: cca@cca.org.ar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E6" w:rsidRDefault="00796CE6">
      <w:r>
        <w:separator/>
      </w:r>
    </w:p>
  </w:footnote>
  <w:footnote w:type="continuationSeparator" w:id="0">
    <w:p w:rsidR="00796CE6" w:rsidRDefault="0079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E0" w:rsidRDefault="00AD38F1">
    <w:pPr>
      <w:pStyle w:val="Epgrafe"/>
      <w:rPr>
        <w:lang w:val="es-AR" w:eastAsia="es-AR"/>
      </w:rPr>
    </w:pPr>
    <w:r>
      <w:rPr>
        <w:noProof/>
        <w:lang w:val="es-AR" w:eastAsia="es-AR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2303780</wp:posOffset>
          </wp:positionH>
          <wp:positionV relativeFrom="paragraph">
            <wp:posOffset>7620</wp:posOffset>
          </wp:positionV>
          <wp:extent cx="1120140" cy="1150620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7" t="-75" r="-7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AD38F1">
    <w:pPr>
      <w:pStyle w:val="Epgrafe"/>
    </w:pPr>
    <w:r>
      <w:t>CAMARA DEL COMERCIO AUTOMOTOR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E0"/>
    <w:rsid w:val="00185FAE"/>
    <w:rsid w:val="003027AF"/>
    <w:rsid w:val="00397B51"/>
    <w:rsid w:val="004221CE"/>
    <w:rsid w:val="005F46AB"/>
    <w:rsid w:val="006003E6"/>
    <w:rsid w:val="00600DE2"/>
    <w:rsid w:val="00734305"/>
    <w:rsid w:val="00796CE6"/>
    <w:rsid w:val="007D2CD5"/>
    <w:rsid w:val="007D40FF"/>
    <w:rsid w:val="009E5691"/>
    <w:rsid w:val="00AD38F1"/>
    <w:rsid w:val="00AE1A95"/>
    <w:rsid w:val="00B440CB"/>
    <w:rsid w:val="00B658C9"/>
    <w:rsid w:val="00BA394A"/>
    <w:rsid w:val="00BD5829"/>
    <w:rsid w:val="00C63CE0"/>
    <w:rsid w:val="00D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4C"/>
    <w:rPr>
      <w:rFonts w:ascii="Times New Roman" w:eastAsia="Times New Roman" w:hAnsi="Times New Roman" w:cs="Times New Roman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6E524C"/>
  </w:style>
  <w:style w:type="character" w:customStyle="1" w:styleId="WW8Num2z0">
    <w:name w:val="WW8Num2z0"/>
    <w:qFormat/>
    <w:rsid w:val="006E524C"/>
  </w:style>
  <w:style w:type="character" w:customStyle="1" w:styleId="WW8Num3z0">
    <w:name w:val="WW8Num3z0"/>
    <w:qFormat/>
    <w:rsid w:val="006E524C"/>
    <w:rPr>
      <w:b/>
    </w:rPr>
  </w:style>
  <w:style w:type="character" w:customStyle="1" w:styleId="WW8Num4z0">
    <w:name w:val="WW8Num4z0"/>
    <w:qFormat/>
    <w:rsid w:val="006E524C"/>
    <w:rPr>
      <w:b/>
      <w:i w:val="0"/>
      <w:u w:val="none"/>
    </w:rPr>
  </w:style>
  <w:style w:type="character" w:customStyle="1" w:styleId="WW8Num5z0">
    <w:name w:val="WW8Num5z0"/>
    <w:qFormat/>
    <w:rsid w:val="006E524C"/>
  </w:style>
  <w:style w:type="character" w:customStyle="1" w:styleId="WW8Num6z0">
    <w:name w:val="WW8Num6z0"/>
    <w:qFormat/>
    <w:rsid w:val="006E524C"/>
    <w:rPr>
      <w:rFonts w:ascii="Symbol" w:hAnsi="Symbol" w:cs="Symbol"/>
    </w:rPr>
  </w:style>
  <w:style w:type="character" w:customStyle="1" w:styleId="WW8Num7z0">
    <w:name w:val="WW8Num7z0"/>
    <w:qFormat/>
    <w:rsid w:val="006E524C"/>
  </w:style>
  <w:style w:type="character" w:customStyle="1" w:styleId="WW8Num8z0">
    <w:name w:val="WW8Num8z0"/>
    <w:qFormat/>
    <w:rsid w:val="006E524C"/>
  </w:style>
  <w:style w:type="character" w:customStyle="1" w:styleId="WW8NumSt6z0">
    <w:name w:val="WW8NumSt6z0"/>
    <w:qFormat/>
    <w:rsid w:val="006E524C"/>
    <w:rPr>
      <w:rFonts w:ascii="Symbol" w:hAnsi="Symbol" w:cs="Symbol"/>
    </w:rPr>
  </w:style>
  <w:style w:type="character" w:customStyle="1" w:styleId="EnlacedeInternet">
    <w:name w:val="Enlace de Internet"/>
    <w:rsid w:val="006E524C"/>
    <w:rPr>
      <w:color w:val="0000FF"/>
      <w:u w:val="single"/>
    </w:rPr>
  </w:style>
  <w:style w:type="character" w:customStyle="1" w:styleId="Destacado">
    <w:name w:val="Destacado"/>
    <w:qFormat/>
    <w:rsid w:val="006E524C"/>
    <w:rPr>
      <w:i/>
    </w:rPr>
  </w:style>
  <w:style w:type="character" w:customStyle="1" w:styleId="Muydestacado">
    <w:name w:val="Muy destacado"/>
    <w:qFormat/>
    <w:rsid w:val="006E524C"/>
    <w:rPr>
      <w:b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1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07F8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Ttulo">
    <w:name w:val="Title"/>
    <w:basedOn w:val="Normal"/>
    <w:next w:val="Textoindependiente"/>
    <w:qFormat/>
    <w:rsid w:val="006E52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E524C"/>
    <w:pPr>
      <w:jc w:val="both"/>
    </w:pPr>
  </w:style>
  <w:style w:type="paragraph" w:styleId="Lista">
    <w:name w:val="List"/>
    <w:basedOn w:val="Textoindependiente"/>
    <w:rsid w:val="006E524C"/>
    <w:rPr>
      <w:rFonts w:cs="Arial"/>
    </w:rPr>
  </w:style>
  <w:style w:type="paragraph" w:styleId="Epgrafe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customStyle="1" w:styleId="ndice">
    <w:name w:val="Índice"/>
    <w:basedOn w:val="Normal"/>
    <w:qFormat/>
    <w:rsid w:val="006E524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6E524C"/>
    <w:pPr>
      <w:keepNext/>
      <w:outlineLvl w:val="0"/>
    </w:pPr>
    <w:rPr>
      <w:b/>
      <w:u w:val="single"/>
    </w:rPr>
  </w:style>
  <w:style w:type="paragraph" w:customStyle="1" w:styleId="Ttulo21">
    <w:name w:val="Título 21"/>
    <w:basedOn w:val="Normal"/>
    <w:next w:val="Normal"/>
    <w:qFormat/>
    <w:rsid w:val="006E524C"/>
    <w:pPr>
      <w:keepNext/>
      <w:outlineLvl w:val="1"/>
    </w:pPr>
  </w:style>
  <w:style w:type="paragraph" w:customStyle="1" w:styleId="Ttulo31">
    <w:name w:val="Título 31"/>
    <w:basedOn w:val="Normal"/>
    <w:next w:val="Normal"/>
    <w:qFormat/>
    <w:rsid w:val="006E524C"/>
    <w:pPr>
      <w:keepNext/>
      <w:jc w:val="right"/>
      <w:outlineLvl w:val="2"/>
    </w:pPr>
    <w:rPr>
      <w:sz w:val="28"/>
      <w:lang w:val="es-AR"/>
    </w:rPr>
  </w:style>
  <w:style w:type="paragraph" w:customStyle="1" w:styleId="Ttulo41">
    <w:name w:val="Título 41"/>
    <w:basedOn w:val="Normal"/>
    <w:next w:val="Normal"/>
    <w:qFormat/>
    <w:rsid w:val="006E524C"/>
    <w:pPr>
      <w:keepNext/>
      <w:outlineLvl w:val="3"/>
    </w:pPr>
    <w:rPr>
      <w:sz w:val="28"/>
    </w:rPr>
  </w:style>
  <w:style w:type="paragraph" w:customStyle="1" w:styleId="Ttulo51">
    <w:name w:val="Título 51"/>
    <w:basedOn w:val="Normal"/>
    <w:next w:val="Normal"/>
    <w:qFormat/>
    <w:rsid w:val="006E524C"/>
    <w:pPr>
      <w:keepNext/>
      <w:outlineLvl w:val="4"/>
    </w:pPr>
    <w:rPr>
      <w:b/>
      <w:sz w:val="28"/>
      <w:lang w:val="es-MX"/>
    </w:rPr>
  </w:style>
  <w:style w:type="paragraph" w:customStyle="1" w:styleId="Ttulo61">
    <w:name w:val="Título 61"/>
    <w:basedOn w:val="Normal"/>
    <w:next w:val="Normal"/>
    <w:qFormat/>
    <w:rsid w:val="006E524C"/>
    <w:pPr>
      <w:keepNext/>
      <w:outlineLvl w:val="5"/>
    </w:pPr>
    <w:rPr>
      <w:sz w:val="32"/>
      <w:lang w:val="es-MX"/>
    </w:rPr>
  </w:style>
  <w:style w:type="paragraph" w:customStyle="1" w:styleId="Ttulo71">
    <w:name w:val="Título 71"/>
    <w:basedOn w:val="Normal"/>
    <w:next w:val="Normal"/>
    <w:qFormat/>
    <w:rsid w:val="006E524C"/>
    <w:pPr>
      <w:keepNext/>
      <w:outlineLvl w:val="6"/>
    </w:pPr>
    <w:rPr>
      <w:sz w:val="28"/>
      <w:u w:val="single"/>
      <w:lang w:val="es-MX"/>
    </w:rPr>
  </w:style>
  <w:style w:type="paragraph" w:customStyle="1" w:styleId="Ttulo81">
    <w:name w:val="Título 81"/>
    <w:basedOn w:val="Normal"/>
    <w:next w:val="Normal"/>
    <w:qFormat/>
    <w:rsid w:val="006E524C"/>
    <w:pPr>
      <w:keepNext/>
      <w:outlineLvl w:val="7"/>
    </w:pPr>
    <w:rPr>
      <w:b/>
      <w:lang w:val="es-MX"/>
    </w:rPr>
  </w:style>
  <w:style w:type="paragraph" w:customStyle="1" w:styleId="Ttulo91">
    <w:name w:val="Título 91"/>
    <w:basedOn w:val="Normal"/>
    <w:next w:val="Normal"/>
    <w:qFormat/>
    <w:rsid w:val="006E524C"/>
    <w:pPr>
      <w:keepNext/>
      <w:outlineLvl w:val="8"/>
    </w:pPr>
    <w:rPr>
      <w:i/>
      <w:sz w:val="28"/>
      <w:lang w:val="es-MX"/>
    </w:rPr>
  </w:style>
  <w:style w:type="paragraph" w:customStyle="1" w:styleId="Epgrafe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rsid w:val="006E524C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qFormat/>
    <w:rsid w:val="006E52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qFormat/>
    <w:rsid w:val="006E52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Textoindependiente2">
    <w:name w:val="Body Text 2"/>
    <w:basedOn w:val="Normal"/>
    <w:qFormat/>
    <w:rsid w:val="006E524C"/>
    <w:rPr>
      <w:sz w:val="28"/>
      <w:lang w:val="es-MX"/>
    </w:rPr>
  </w:style>
  <w:style w:type="paragraph" w:styleId="Textoindependiente3">
    <w:name w:val="Body Text 3"/>
    <w:basedOn w:val="Normal"/>
    <w:qFormat/>
    <w:rsid w:val="006E524C"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customStyle="1" w:styleId="yiv8714062126m294091323008971570ydp9f750b63msonormal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07F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E524C"/>
  </w:style>
  <w:style w:type="numbering" w:customStyle="1" w:styleId="WW8Num2">
    <w:name w:val="WW8Num2"/>
    <w:qFormat/>
    <w:rsid w:val="006E524C"/>
  </w:style>
  <w:style w:type="numbering" w:customStyle="1" w:styleId="WW8Num3">
    <w:name w:val="WW8Num3"/>
    <w:qFormat/>
    <w:rsid w:val="006E524C"/>
  </w:style>
  <w:style w:type="numbering" w:customStyle="1" w:styleId="WW8Num4">
    <w:name w:val="WW8Num4"/>
    <w:qFormat/>
    <w:rsid w:val="006E524C"/>
  </w:style>
  <w:style w:type="numbering" w:customStyle="1" w:styleId="WW8Num5">
    <w:name w:val="WW8Num5"/>
    <w:qFormat/>
    <w:rsid w:val="006E524C"/>
  </w:style>
  <w:style w:type="numbering" w:customStyle="1" w:styleId="WW8Num6">
    <w:name w:val="WW8Num6"/>
    <w:qFormat/>
    <w:rsid w:val="006E524C"/>
  </w:style>
  <w:style w:type="numbering" w:customStyle="1" w:styleId="WW8Num7">
    <w:name w:val="WW8Num7"/>
    <w:qFormat/>
    <w:rsid w:val="006E524C"/>
  </w:style>
  <w:style w:type="numbering" w:customStyle="1" w:styleId="WW8Num8">
    <w:name w:val="WW8Num8"/>
    <w:qFormat/>
    <w:rsid w:val="006E5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4C"/>
    <w:rPr>
      <w:rFonts w:ascii="Times New Roman" w:eastAsia="Times New Roman" w:hAnsi="Times New Roman" w:cs="Times New Roman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6E524C"/>
  </w:style>
  <w:style w:type="character" w:customStyle="1" w:styleId="WW8Num2z0">
    <w:name w:val="WW8Num2z0"/>
    <w:qFormat/>
    <w:rsid w:val="006E524C"/>
  </w:style>
  <w:style w:type="character" w:customStyle="1" w:styleId="WW8Num3z0">
    <w:name w:val="WW8Num3z0"/>
    <w:qFormat/>
    <w:rsid w:val="006E524C"/>
    <w:rPr>
      <w:b/>
    </w:rPr>
  </w:style>
  <w:style w:type="character" w:customStyle="1" w:styleId="WW8Num4z0">
    <w:name w:val="WW8Num4z0"/>
    <w:qFormat/>
    <w:rsid w:val="006E524C"/>
    <w:rPr>
      <w:b/>
      <w:i w:val="0"/>
      <w:u w:val="none"/>
    </w:rPr>
  </w:style>
  <w:style w:type="character" w:customStyle="1" w:styleId="WW8Num5z0">
    <w:name w:val="WW8Num5z0"/>
    <w:qFormat/>
    <w:rsid w:val="006E524C"/>
  </w:style>
  <w:style w:type="character" w:customStyle="1" w:styleId="WW8Num6z0">
    <w:name w:val="WW8Num6z0"/>
    <w:qFormat/>
    <w:rsid w:val="006E524C"/>
    <w:rPr>
      <w:rFonts w:ascii="Symbol" w:hAnsi="Symbol" w:cs="Symbol"/>
    </w:rPr>
  </w:style>
  <w:style w:type="character" w:customStyle="1" w:styleId="WW8Num7z0">
    <w:name w:val="WW8Num7z0"/>
    <w:qFormat/>
    <w:rsid w:val="006E524C"/>
  </w:style>
  <w:style w:type="character" w:customStyle="1" w:styleId="WW8Num8z0">
    <w:name w:val="WW8Num8z0"/>
    <w:qFormat/>
    <w:rsid w:val="006E524C"/>
  </w:style>
  <w:style w:type="character" w:customStyle="1" w:styleId="WW8NumSt6z0">
    <w:name w:val="WW8NumSt6z0"/>
    <w:qFormat/>
    <w:rsid w:val="006E524C"/>
    <w:rPr>
      <w:rFonts w:ascii="Symbol" w:hAnsi="Symbol" w:cs="Symbol"/>
    </w:rPr>
  </w:style>
  <w:style w:type="character" w:customStyle="1" w:styleId="EnlacedeInternet">
    <w:name w:val="Enlace de Internet"/>
    <w:rsid w:val="006E524C"/>
    <w:rPr>
      <w:color w:val="0000FF"/>
      <w:u w:val="single"/>
    </w:rPr>
  </w:style>
  <w:style w:type="character" w:customStyle="1" w:styleId="Destacado">
    <w:name w:val="Destacado"/>
    <w:qFormat/>
    <w:rsid w:val="006E524C"/>
    <w:rPr>
      <w:i/>
    </w:rPr>
  </w:style>
  <w:style w:type="character" w:customStyle="1" w:styleId="Muydestacado">
    <w:name w:val="Muy destacado"/>
    <w:qFormat/>
    <w:rsid w:val="006E524C"/>
    <w:rPr>
      <w:b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1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07F8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Ttulo">
    <w:name w:val="Title"/>
    <w:basedOn w:val="Normal"/>
    <w:next w:val="Textoindependiente"/>
    <w:qFormat/>
    <w:rsid w:val="006E52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E524C"/>
    <w:pPr>
      <w:jc w:val="both"/>
    </w:pPr>
  </w:style>
  <w:style w:type="paragraph" w:styleId="Lista">
    <w:name w:val="List"/>
    <w:basedOn w:val="Textoindependiente"/>
    <w:rsid w:val="006E524C"/>
    <w:rPr>
      <w:rFonts w:cs="Arial"/>
    </w:rPr>
  </w:style>
  <w:style w:type="paragraph" w:styleId="Epgrafe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customStyle="1" w:styleId="ndice">
    <w:name w:val="Índice"/>
    <w:basedOn w:val="Normal"/>
    <w:qFormat/>
    <w:rsid w:val="006E524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6E524C"/>
    <w:pPr>
      <w:keepNext/>
      <w:outlineLvl w:val="0"/>
    </w:pPr>
    <w:rPr>
      <w:b/>
      <w:u w:val="single"/>
    </w:rPr>
  </w:style>
  <w:style w:type="paragraph" w:customStyle="1" w:styleId="Ttulo21">
    <w:name w:val="Título 21"/>
    <w:basedOn w:val="Normal"/>
    <w:next w:val="Normal"/>
    <w:qFormat/>
    <w:rsid w:val="006E524C"/>
    <w:pPr>
      <w:keepNext/>
      <w:outlineLvl w:val="1"/>
    </w:pPr>
  </w:style>
  <w:style w:type="paragraph" w:customStyle="1" w:styleId="Ttulo31">
    <w:name w:val="Título 31"/>
    <w:basedOn w:val="Normal"/>
    <w:next w:val="Normal"/>
    <w:qFormat/>
    <w:rsid w:val="006E524C"/>
    <w:pPr>
      <w:keepNext/>
      <w:jc w:val="right"/>
      <w:outlineLvl w:val="2"/>
    </w:pPr>
    <w:rPr>
      <w:sz w:val="28"/>
      <w:lang w:val="es-AR"/>
    </w:rPr>
  </w:style>
  <w:style w:type="paragraph" w:customStyle="1" w:styleId="Ttulo41">
    <w:name w:val="Título 41"/>
    <w:basedOn w:val="Normal"/>
    <w:next w:val="Normal"/>
    <w:qFormat/>
    <w:rsid w:val="006E524C"/>
    <w:pPr>
      <w:keepNext/>
      <w:outlineLvl w:val="3"/>
    </w:pPr>
    <w:rPr>
      <w:sz w:val="28"/>
    </w:rPr>
  </w:style>
  <w:style w:type="paragraph" w:customStyle="1" w:styleId="Ttulo51">
    <w:name w:val="Título 51"/>
    <w:basedOn w:val="Normal"/>
    <w:next w:val="Normal"/>
    <w:qFormat/>
    <w:rsid w:val="006E524C"/>
    <w:pPr>
      <w:keepNext/>
      <w:outlineLvl w:val="4"/>
    </w:pPr>
    <w:rPr>
      <w:b/>
      <w:sz w:val="28"/>
      <w:lang w:val="es-MX"/>
    </w:rPr>
  </w:style>
  <w:style w:type="paragraph" w:customStyle="1" w:styleId="Ttulo61">
    <w:name w:val="Título 61"/>
    <w:basedOn w:val="Normal"/>
    <w:next w:val="Normal"/>
    <w:qFormat/>
    <w:rsid w:val="006E524C"/>
    <w:pPr>
      <w:keepNext/>
      <w:outlineLvl w:val="5"/>
    </w:pPr>
    <w:rPr>
      <w:sz w:val="32"/>
      <w:lang w:val="es-MX"/>
    </w:rPr>
  </w:style>
  <w:style w:type="paragraph" w:customStyle="1" w:styleId="Ttulo71">
    <w:name w:val="Título 71"/>
    <w:basedOn w:val="Normal"/>
    <w:next w:val="Normal"/>
    <w:qFormat/>
    <w:rsid w:val="006E524C"/>
    <w:pPr>
      <w:keepNext/>
      <w:outlineLvl w:val="6"/>
    </w:pPr>
    <w:rPr>
      <w:sz w:val="28"/>
      <w:u w:val="single"/>
      <w:lang w:val="es-MX"/>
    </w:rPr>
  </w:style>
  <w:style w:type="paragraph" w:customStyle="1" w:styleId="Ttulo81">
    <w:name w:val="Título 81"/>
    <w:basedOn w:val="Normal"/>
    <w:next w:val="Normal"/>
    <w:qFormat/>
    <w:rsid w:val="006E524C"/>
    <w:pPr>
      <w:keepNext/>
      <w:outlineLvl w:val="7"/>
    </w:pPr>
    <w:rPr>
      <w:b/>
      <w:lang w:val="es-MX"/>
    </w:rPr>
  </w:style>
  <w:style w:type="paragraph" w:customStyle="1" w:styleId="Ttulo91">
    <w:name w:val="Título 91"/>
    <w:basedOn w:val="Normal"/>
    <w:next w:val="Normal"/>
    <w:qFormat/>
    <w:rsid w:val="006E524C"/>
    <w:pPr>
      <w:keepNext/>
      <w:outlineLvl w:val="8"/>
    </w:pPr>
    <w:rPr>
      <w:i/>
      <w:sz w:val="28"/>
      <w:lang w:val="es-MX"/>
    </w:rPr>
  </w:style>
  <w:style w:type="paragraph" w:customStyle="1" w:styleId="Epgrafe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rsid w:val="006E524C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qFormat/>
    <w:rsid w:val="006E52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qFormat/>
    <w:rsid w:val="006E52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Textoindependiente2">
    <w:name w:val="Body Text 2"/>
    <w:basedOn w:val="Normal"/>
    <w:qFormat/>
    <w:rsid w:val="006E524C"/>
    <w:rPr>
      <w:sz w:val="28"/>
      <w:lang w:val="es-MX"/>
    </w:rPr>
  </w:style>
  <w:style w:type="paragraph" w:styleId="Textoindependiente3">
    <w:name w:val="Body Text 3"/>
    <w:basedOn w:val="Normal"/>
    <w:qFormat/>
    <w:rsid w:val="006E524C"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customStyle="1" w:styleId="yiv8714062126m294091323008971570ydp9f750b63msonormal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07F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E524C"/>
  </w:style>
  <w:style w:type="numbering" w:customStyle="1" w:styleId="WW8Num2">
    <w:name w:val="WW8Num2"/>
    <w:qFormat/>
    <w:rsid w:val="006E524C"/>
  </w:style>
  <w:style w:type="numbering" w:customStyle="1" w:styleId="WW8Num3">
    <w:name w:val="WW8Num3"/>
    <w:qFormat/>
    <w:rsid w:val="006E524C"/>
  </w:style>
  <w:style w:type="numbering" w:customStyle="1" w:styleId="WW8Num4">
    <w:name w:val="WW8Num4"/>
    <w:qFormat/>
    <w:rsid w:val="006E524C"/>
  </w:style>
  <w:style w:type="numbering" w:customStyle="1" w:styleId="WW8Num5">
    <w:name w:val="WW8Num5"/>
    <w:qFormat/>
    <w:rsid w:val="006E524C"/>
  </w:style>
  <w:style w:type="numbering" w:customStyle="1" w:styleId="WW8Num6">
    <w:name w:val="WW8Num6"/>
    <w:qFormat/>
    <w:rsid w:val="006E524C"/>
  </w:style>
  <w:style w:type="numbering" w:customStyle="1" w:styleId="WW8Num7">
    <w:name w:val="WW8Num7"/>
    <w:qFormat/>
    <w:rsid w:val="006E524C"/>
  </w:style>
  <w:style w:type="numbering" w:customStyle="1" w:styleId="WW8Num8">
    <w:name w:val="WW8Num8"/>
    <w:qFormat/>
    <w:rsid w:val="006E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</dc:creator>
  <cp:lastModifiedBy>Roberto</cp:lastModifiedBy>
  <cp:revision>12</cp:revision>
  <cp:lastPrinted>2026-01-07T12:47:00Z</cp:lastPrinted>
  <dcterms:created xsi:type="dcterms:W3CDTF">2026-02-05T09:18:00Z</dcterms:created>
  <dcterms:modified xsi:type="dcterms:W3CDTF">2026-02-05T15:05:00Z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