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1BF" w:rsidRDefault="00F541BF">
      <w:pPr>
        <w:rPr>
          <w:lang w:val="es-MX"/>
        </w:rPr>
      </w:pPr>
    </w:p>
    <w:p w:rsidR="00F541BF" w:rsidRDefault="00F541BF">
      <w:pPr>
        <w:rPr>
          <w:b/>
          <w:bCs/>
          <w:sz w:val="52"/>
          <w:szCs w:val="52"/>
        </w:rPr>
      </w:pPr>
    </w:p>
    <w:p w:rsidR="00F541BF" w:rsidRDefault="00936A97">
      <w:pPr>
        <w:rPr>
          <w:b/>
          <w:bCs/>
          <w:sz w:val="52"/>
          <w:szCs w:val="52"/>
        </w:rPr>
      </w:pPr>
      <w:r>
        <w:rPr>
          <w:b/>
          <w:bCs/>
          <w:sz w:val="52"/>
          <w:szCs w:val="52"/>
        </w:rPr>
        <w:t>INFORMACION DE PRENSA</w:t>
      </w:r>
    </w:p>
    <w:p w:rsidR="00F541BF" w:rsidRDefault="00F541BF">
      <w:pPr>
        <w:rPr>
          <w:sz w:val="52"/>
          <w:szCs w:val="52"/>
        </w:rPr>
      </w:pPr>
    </w:p>
    <w:p w:rsidR="00F541BF" w:rsidRDefault="00F541BF">
      <w:pPr>
        <w:rPr>
          <w:b/>
          <w:sz w:val="44"/>
          <w:szCs w:val="44"/>
          <w:u w:val="single"/>
        </w:rPr>
      </w:pPr>
    </w:p>
    <w:p w:rsidR="00F541BF" w:rsidRDefault="00EC08CD">
      <w:pPr>
        <w:rPr>
          <w:b/>
          <w:sz w:val="44"/>
          <w:szCs w:val="44"/>
          <w:u w:val="single"/>
        </w:rPr>
      </w:pPr>
      <w:r>
        <w:rPr>
          <w:b/>
          <w:sz w:val="44"/>
          <w:szCs w:val="44"/>
          <w:u w:val="single"/>
        </w:rPr>
        <w:t>EN 2024 SE VENDIERON 1.</w:t>
      </w:r>
      <w:r w:rsidR="005C4397">
        <w:rPr>
          <w:b/>
          <w:sz w:val="44"/>
          <w:szCs w:val="44"/>
          <w:u w:val="single"/>
        </w:rPr>
        <w:t>745.335 VEHÍCULOS USADOS</w:t>
      </w:r>
    </w:p>
    <w:p w:rsidR="004046D1" w:rsidRDefault="004046D1">
      <w:pPr>
        <w:rPr>
          <w:b/>
          <w:sz w:val="44"/>
          <w:szCs w:val="44"/>
          <w:u w:val="single"/>
        </w:rPr>
      </w:pPr>
    </w:p>
    <w:p w:rsidR="004046D1" w:rsidRDefault="004046D1">
      <w:pPr>
        <w:rPr>
          <w:b/>
          <w:sz w:val="44"/>
          <w:szCs w:val="44"/>
          <w:u w:val="single"/>
        </w:rPr>
      </w:pPr>
    </w:p>
    <w:p w:rsidR="009E1980" w:rsidRDefault="009E1980">
      <w:pPr>
        <w:rPr>
          <w:b/>
          <w:sz w:val="44"/>
          <w:szCs w:val="44"/>
          <w:u w:val="single"/>
        </w:rPr>
      </w:pPr>
    </w:p>
    <w:p w:rsidR="00F541BF" w:rsidRDefault="00D371A4">
      <w:pPr>
        <w:rPr>
          <w:b/>
          <w:sz w:val="44"/>
          <w:szCs w:val="44"/>
          <w:u w:val="single"/>
        </w:rPr>
      </w:pPr>
      <w:r>
        <w:rPr>
          <w:b/>
          <w:sz w:val="44"/>
          <w:szCs w:val="44"/>
          <w:u w:val="single"/>
        </w:rPr>
        <w:t xml:space="preserve">EN </w:t>
      </w:r>
      <w:r w:rsidR="005C4397">
        <w:rPr>
          <w:b/>
          <w:sz w:val="44"/>
          <w:szCs w:val="44"/>
          <w:u w:val="single"/>
        </w:rPr>
        <w:t>DICIEMBRE SE COMERCIALIZARON 160.539 UNIDADES</w:t>
      </w:r>
    </w:p>
    <w:p w:rsidR="005C4397" w:rsidRDefault="005C4397">
      <w:pPr>
        <w:rPr>
          <w:b/>
          <w:sz w:val="44"/>
          <w:szCs w:val="44"/>
          <w:u w:val="single"/>
        </w:rPr>
      </w:pPr>
    </w:p>
    <w:p w:rsidR="009E1980" w:rsidRDefault="009E1980">
      <w:pPr>
        <w:rPr>
          <w:b/>
          <w:sz w:val="44"/>
          <w:szCs w:val="44"/>
          <w:u w:val="single"/>
        </w:rPr>
      </w:pPr>
    </w:p>
    <w:p w:rsidR="009E1980" w:rsidRDefault="009E1980">
      <w:pPr>
        <w:rPr>
          <w:b/>
          <w:sz w:val="44"/>
          <w:szCs w:val="44"/>
          <w:u w:val="single"/>
        </w:rPr>
      </w:pPr>
    </w:p>
    <w:p w:rsidR="005C4397" w:rsidRDefault="00936A97">
      <w:pPr>
        <w:rPr>
          <w:b/>
          <w:sz w:val="44"/>
          <w:szCs w:val="44"/>
          <w:u w:val="single"/>
        </w:rPr>
      </w:pPr>
      <w:r>
        <w:rPr>
          <w:b/>
          <w:sz w:val="44"/>
          <w:szCs w:val="44"/>
          <w:u w:val="single"/>
        </w:rPr>
        <w:t xml:space="preserve">EL AUTO USADO MÁS VENDIDO </w:t>
      </w:r>
      <w:r w:rsidR="005C4397">
        <w:rPr>
          <w:b/>
          <w:sz w:val="44"/>
          <w:szCs w:val="44"/>
          <w:u w:val="single"/>
        </w:rPr>
        <w:t>EN 2024 FUE EL VW GOL CON 100.265 UNIDADES</w:t>
      </w:r>
    </w:p>
    <w:p w:rsidR="005C4397" w:rsidRDefault="005C4397">
      <w:pPr>
        <w:rPr>
          <w:b/>
          <w:sz w:val="44"/>
          <w:szCs w:val="44"/>
          <w:u w:val="single"/>
        </w:rPr>
      </w:pPr>
    </w:p>
    <w:p w:rsidR="00F541BF" w:rsidRDefault="00F541BF">
      <w:pPr>
        <w:rPr>
          <w:sz w:val="44"/>
          <w:szCs w:val="44"/>
        </w:rPr>
      </w:pPr>
    </w:p>
    <w:p w:rsidR="00F541BF" w:rsidRDefault="00F541BF">
      <w:pPr>
        <w:rPr>
          <w:sz w:val="40"/>
          <w:szCs w:val="40"/>
        </w:rPr>
      </w:pPr>
    </w:p>
    <w:p w:rsidR="00F541BF" w:rsidRDefault="00F541BF">
      <w:pPr>
        <w:rPr>
          <w:sz w:val="40"/>
          <w:szCs w:val="40"/>
        </w:rPr>
      </w:pPr>
    </w:p>
    <w:p w:rsidR="00F541BF" w:rsidRDefault="00F541BF">
      <w:pPr>
        <w:rPr>
          <w:sz w:val="40"/>
          <w:szCs w:val="40"/>
        </w:rPr>
      </w:pPr>
    </w:p>
    <w:p w:rsidR="00F541BF" w:rsidRDefault="00F541BF">
      <w:pPr>
        <w:rPr>
          <w:sz w:val="40"/>
          <w:szCs w:val="40"/>
        </w:rPr>
      </w:pPr>
    </w:p>
    <w:p w:rsidR="00E97C23" w:rsidRDefault="00936A97">
      <w:pPr>
        <w:rPr>
          <w:sz w:val="40"/>
          <w:szCs w:val="40"/>
        </w:rPr>
      </w:pPr>
      <w:r>
        <w:rPr>
          <w:sz w:val="40"/>
          <w:szCs w:val="40"/>
        </w:rPr>
        <w:t>La Cámara del Comercio Automotor (CCA)</w:t>
      </w:r>
      <w:r w:rsidR="003761FD">
        <w:rPr>
          <w:sz w:val="40"/>
          <w:szCs w:val="40"/>
        </w:rPr>
        <w:t xml:space="preserve"> informó que </w:t>
      </w:r>
      <w:r w:rsidR="005C4397">
        <w:rPr>
          <w:sz w:val="40"/>
          <w:szCs w:val="40"/>
        </w:rPr>
        <w:t xml:space="preserve">en 2024 se comercializaron 1.745.335 vehículos usados, un 5,50% más que en 2023 (1.654.395 unidades). </w:t>
      </w:r>
    </w:p>
    <w:p w:rsidR="00E97C23" w:rsidRDefault="00E97C23">
      <w:pPr>
        <w:rPr>
          <w:sz w:val="40"/>
          <w:szCs w:val="40"/>
        </w:rPr>
      </w:pPr>
    </w:p>
    <w:p w:rsidR="00E97C23" w:rsidRPr="009C5237" w:rsidRDefault="00E97C23">
      <w:pPr>
        <w:rPr>
          <w:b/>
          <w:sz w:val="40"/>
          <w:szCs w:val="40"/>
        </w:rPr>
      </w:pPr>
      <w:r>
        <w:rPr>
          <w:sz w:val="40"/>
          <w:szCs w:val="40"/>
        </w:rPr>
        <w:t>En diciembre de 2024 se vendieron 160.539 vehículos usados, un 31,56% más que en igual mes del año 2023 (</w:t>
      </w:r>
      <w:r w:rsidR="009C5237">
        <w:rPr>
          <w:sz w:val="40"/>
          <w:szCs w:val="40"/>
        </w:rPr>
        <w:t xml:space="preserve">122.024 unidades). </w:t>
      </w:r>
      <w:r w:rsidR="009C5237" w:rsidRPr="009C5237">
        <w:rPr>
          <w:b/>
          <w:sz w:val="40"/>
          <w:szCs w:val="40"/>
        </w:rPr>
        <w:t>Con este</w:t>
      </w:r>
      <w:r w:rsidR="009C5237">
        <w:rPr>
          <w:b/>
          <w:sz w:val="40"/>
          <w:szCs w:val="40"/>
        </w:rPr>
        <w:t xml:space="preserve"> volumen, diciembre se convirtió</w:t>
      </w:r>
      <w:r w:rsidR="009C5237" w:rsidRPr="009C5237">
        <w:rPr>
          <w:b/>
          <w:sz w:val="40"/>
          <w:szCs w:val="40"/>
        </w:rPr>
        <w:t xml:space="preserve"> en el mejor diciembre desde que existen datos del mercado (año 1995) hace 30 años.</w:t>
      </w:r>
    </w:p>
    <w:p w:rsidR="009C5237" w:rsidRDefault="009C5237">
      <w:pPr>
        <w:rPr>
          <w:sz w:val="40"/>
          <w:szCs w:val="40"/>
        </w:rPr>
      </w:pPr>
    </w:p>
    <w:p w:rsidR="009C5237" w:rsidRDefault="009C5237">
      <w:pPr>
        <w:rPr>
          <w:sz w:val="40"/>
          <w:szCs w:val="40"/>
        </w:rPr>
      </w:pPr>
      <w:r>
        <w:rPr>
          <w:sz w:val="40"/>
          <w:szCs w:val="40"/>
        </w:rPr>
        <w:t>Si comparamos diciembre (160.539 unidades) con noviembre de 2024 (151.174 unidades) se registra un incremento del 6,19%.</w:t>
      </w:r>
    </w:p>
    <w:p w:rsidR="004046D1" w:rsidRDefault="004046D1">
      <w:pPr>
        <w:rPr>
          <w:sz w:val="40"/>
          <w:szCs w:val="40"/>
        </w:rPr>
      </w:pPr>
    </w:p>
    <w:p w:rsidR="004046D1" w:rsidRDefault="009C5237">
      <w:pPr>
        <w:rPr>
          <w:sz w:val="40"/>
          <w:szCs w:val="40"/>
        </w:rPr>
      </w:pPr>
      <w:r>
        <w:rPr>
          <w:sz w:val="40"/>
          <w:szCs w:val="40"/>
        </w:rPr>
        <w:t>El año 2024 mostró también que el Volkswagen Gol sigue encabezando la preferencia de la gente al adquirir un auto usado. Se comercializaron 100.265 unidades.</w:t>
      </w:r>
    </w:p>
    <w:p w:rsidR="00F541BF" w:rsidRDefault="00F541BF">
      <w:pPr>
        <w:rPr>
          <w:b/>
          <w:sz w:val="44"/>
          <w:szCs w:val="44"/>
          <w:u w:val="single"/>
        </w:rPr>
      </w:pPr>
    </w:p>
    <w:p w:rsidR="00F541BF" w:rsidRDefault="00F541BF">
      <w:pPr>
        <w:rPr>
          <w:b/>
          <w:sz w:val="40"/>
          <w:szCs w:val="40"/>
          <w:u w:val="single"/>
        </w:rPr>
      </w:pPr>
    </w:p>
    <w:p w:rsidR="00F541BF" w:rsidRDefault="00F541BF">
      <w:pPr>
        <w:rPr>
          <w:b/>
          <w:sz w:val="40"/>
          <w:szCs w:val="40"/>
          <w:u w:val="single"/>
        </w:rPr>
      </w:pPr>
    </w:p>
    <w:p w:rsidR="00F541BF" w:rsidRDefault="00F541BF">
      <w:pPr>
        <w:rPr>
          <w:b/>
          <w:sz w:val="40"/>
          <w:szCs w:val="40"/>
          <w:u w:val="single"/>
        </w:rPr>
      </w:pPr>
    </w:p>
    <w:p w:rsidR="00F541BF" w:rsidRDefault="00F541BF">
      <w:pPr>
        <w:rPr>
          <w:b/>
          <w:sz w:val="40"/>
          <w:szCs w:val="40"/>
          <w:u w:val="single"/>
        </w:rPr>
      </w:pPr>
    </w:p>
    <w:p w:rsidR="00F541BF" w:rsidRDefault="00936A97">
      <w:pPr>
        <w:rPr>
          <w:sz w:val="40"/>
          <w:szCs w:val="40"/>
        </w:rPr>
      </w:pPr>
      <w:r>
        <w:rPr>
          <w:b/>
          <w:sz w:val="40"/>
          <w:szCs w:val="40"/>
          <w:u w:val="single"/>
        </w:rPr>
        <w:t xml:space="preserve">DECLARACIONES DE </w:t>
      </w:r>
      <w:r w:rsidR="009C5237">
        <w:rPr>
          <w:b/>
          <w:sz w:val="40"/>
          <w:szCs w:val="40"/>
          <w:u w:val="single"/>
        </w:rPr>
        <w:t>ALBERTO PRÍNCIPE,</w:t>
      </w:r>
      <w:r w:rsidR="000001C0">
        <w:rPr>
          <w:b/>
          <w:sz w:val="40"/>
          <w:szCs w:val="40"/>
          <w:u w:val="single"/>
        </w:rPr>
        <w:t xml:space="preserve"> </w:t>
      </w:r>
      <w:r w:rsidR="009C5237">
        <w:rPr>
          <w:b/>
          <w:sz w:val="40"/>
          <w:szCs w:val="40"/>
          <w:u w:val="single"/>
        </w:rPr>
        <w:t xml:space="preserve">PRESIDENTE </w:t>
      </w:r>
      <w:r>
        <w:rPr>
          <w:b/>
          <w:sz w:val="40"/>
          <w:szCs w:val="40"/>
          <w:u w:val="single"/>
        </w:rPr>
        <w:t>DE LA CÁMARA DEL COMERCIO AUTOMOTOR</w:t>
      </w:r>
    </w:p>
    <w:p w:rsidR="00F541BF" w:rsidRDefault="00F541BF">
      <w:pPr>
        <w:rPr>
          <w:b/>
          <w:sz w:val="48"/>
          <w:szCs w:val="48"/>
          <w:u w:val="single"/>
        </w:rPr>
      </w:pPr>
    </w:p>
    <w:p w:rsidR="009E1980" w:rsidRDefault="009E1980" w:rsidP="00D36E34">
      <w:pPr>
        <w:rPr>
          <w:bCs/>
          <w:sz w:val="40"/>
          <w:szCs w:val="40"/>
        </w:rPr>
      </w:pPr>
      <w:r>
        <w:rPr>
          <w:bCs/>
          <w:sz w:val="40"/>
          <w:szCs w:val="40"/>
        </w:rPr>
        <w:t>“</w:t>
      </w:r>
      <w:r w:rsidR="00D36E34" w:rsidRPr="00D36E34">
        <w:rPr>
          <w:bCs/>
          <w:sz w:val="40"/>
          <w:szCs w:val="40"/>
        </w:rPr>
        <w:t>Terminó el año 2024 con un volumen de venta de autos usados superior a 1.745.000 unidades, una suba del 5,50% con respect</w:t>
      </w:r>
      <w:r w:rsidR="00D36E34">
        <w:rPr>
          <w:bCs/>
          <w:sz w:val="40"/>
          <w:szCs w:val="40"/>
        </w:rPr>
        <w:t xml:space="preserve">o a 2023. Y el mes de diciembre, con 160.539 vehículos comercializados, </w:t>
      </w:r>
      <w:r w:rsidR="00D36E34" w:rsidRPr="00D36E34">
        <w:rPr>
          <w:bCs/>
          <w:sz w:val="40"/>
          <w:szCs w:val="40"/>
        </w:rPr>
        <w:t xml:space="preserve">se convirtió en el </w:t>
      </w:r>
      <w:r w:rsidR="00FF5A94">
        <w:rPr>
          <w:bCs/>
          <w:sz w:val="40"/>
          <w:szCs w:val="40"/>
        </w:rPr>
        <w:t xml:space="preserve">mejor diciembre de la historia desde que se tiene registro </w:t>
      </w:r>
      <w:bookmarkStart w:id="0" w:name="_GoBack"/>
      <w:bookmarkEnd w:id="0"/>
      <w:r w:rsidR="00FF5A94">
        <w:rPr>
          <w:bCs/>
          <w:sz w:val="40"/>
          <w:szCs w:val="40"/>
        </w:rPr>
        <w:t>(</w:t>
      </w:r>
      <w:r w:rsidR="00D36E34" w:rsidRPr="00D36E34">
        <w:rPr>
          <w:bCs/>
          <w:sz w:val="40"/>
          <w:szCs w:val="40"/>
        </w:rPr>
        <w:t>año 1995) hace 30 años</w:t>
      </w:r>
      <w:r>
        <w:rPr>
          <w:bCs/>
          <w:sz w:val="40"/>
          <w:szCs w:val="40"/>
        </w:rPr>
        <w:t>”, mencionó Alberto Príncipe, presidente de la CCA</w:t>
      </w:r>
      <w:r w:rsidR="00D36E34" w:rsidRPr="00D36E34">
        <w:rPr>
          <w:bCs/>
          <w:sz w:val="40"/>
          <w:szCs w:val="40"/>
        </w:rPr>
        <w:t xml:space="preserve">. </w:t>
      </w:r>
    </w:p>
    <w:p w:rsidR="009E1980" w:rsidRDefault="009E1980" w:rsidP="00D36E34">
      <w:pPr>
        <w:rPr>
          <w:bCs/>
          <w:sz w:val="40"/>
          <w:szCs w:val="40"/>
        </w:rPr>
      </w:pPr>
      <w:r>
        <w:rPr>
          <w:bCs/>
          <w:sz w:val="40"/>
          <w:szCs w:val="40"/>
        </w:rPr>
        <w:t>“</w:t>
      </w:r>
      <w:r w:rsidR="00D36E34" w:rsidRPr="00D36E34">
        <w:rPr>
          <w:bCs/>
          <w:sz w:val="40"/>
          <w:szCs w:val="40"/>
        </w:rPr>
        <w:t>Pero, si el número hubiese sido menor o igual no hubiese hecho la diferencia. Fue un  año que comenzó de una manera sumamente preocupante para el sector, con indicios dudosos de como seguiría y terminaría. No había certeza de cómo reaccionaría el mercado y que pasaría con él, tanto en lo alto como ancho del país donde funcionan miles de agencias, muchas grandes y otras chicas</w:t>
      </w:r>
      <w:r>
        <w:rPr>
          <w:bCs/>
          <w:sz w:val="40"/>
          <w:szCs w:val="40"/>
        </w:rPr>
        <w:t xml:space="preserve">”, dijo </w:t>
      </w:r>
      <w:proofErr w:type="spellStart"/>
      <w:r>
        <w:rPr>
          <w:bCs/>
          <w:sz w:val="40"/>
          <w:szCs w:val="40"/>
        </w:rPr>
        <w:t>el</w:t>
      </w:r>
      <w:proofErr w:type="spellEnd"/>
      <w:r>
        <w:rPr>
          <w:bCs/>
          <w:sz w:val="40"/>
          <w:szCs w:val="40"/>
        </w:rPr>
        <w:t xml:space="preserve"> directivo</w:t>
      </w:r>
      <w:r w:rsidR="00D36E34" w:rsidRPr="00D36E34">
        <w:rPr>
          <w:bCs/>
          <w:sz w:val="40"/>
          <w:szCs w:val="40"/>
        </w:rPr>
        <w:t xml:space="preserve">. </w:t>
      </w:r>
    </w:p>
    <w:p w:rsidR="009E1980" w:rsidRDefault="009E1980" w:rsidP="00D36E34">
      <w:pPr>
        <w:rPr>
          <w:bCs/>
          <w:sz w:val="40"/>
          <w:szCs w:val="40"/>
        </w:rPr>
      </w:pPr>
      <w:r>
        <w:rPr>
          <w:bCs/>
          <w:sz w:val="40"/>
          <w:szCs w:val="40"/>
        </w:rPr>
        <w:t>“</w:t>
      </w:r>
      <w:r w:rsidR="00D36E34" w:rsidRPr="00D36E34">
        <w:rPr>
          <w:bCs/>
          <w:sz w:val="40"/>
          <w:szCs w:val="40"/>
        </w:rPr>
        <w:t xml:space="preserve">La incertidumbre cundió en los primeros meses del año. Los volúmenes de venta no eran alentadores, por el contrario hacían pensar si realmente tenía sentido seguir </w:t>
      </w:r>
    </w:p>
    <w:p w:rsidR="009E1980" w:rsidRDefault="009E1980" w:rsidP="00D36E34">
      <w:pPr>
        <w:rPr>
          <w:bCs/>
          <w:sz w:val="40"/>
          <w:szCs w:val="40"/>
        </w:rPr>
      </w:pPr>
    </w:p>
    <w:p w:rsidR="009E1980" w:rsidRDefault="009E1980" w:rsidP="00D36E34">
      <w:pPr>
        <w:rPr>
          <w:bCs/>
          <w:sz w:val="40"/>
          <w:szCs w:val="40"/>
        </w:rPr>
      </w:pPr>
    </w:p>
    <w:p w:rsidR="009E1980" w:rsidRDefault="00D36E34" w:rsidP="00D36E34">
      <w:pPr>
        <w:rPr>
          <w:bCs/>
          <w:sz w:val="40"/>
          <w:szCs w:val="40"/>
        </w:rPr>
      </w:pPr>
      <w:proofErr w:type="gramStart"/>
      <w:r w:rsidRPr="00D36E34">
        <w:rPr>
          <w:bCs/>
          <w:sz w:val="40"/>
          <w:szCs w:val="40"/>
        </w:rPr>
        <w:t>en</w:t>
      </w:r>
      <w:proofErr w:type="gramEnd"/>
      <w:r w:rsidRPr="00D36E34">
        <w:rPr>
          <w:bCs/>
          <w:sz w:val="40"/>
          <w:szCs w:val="40"/>
        </w:rPr>
        <w:t xml:space="preserve"> el negocio. Muchos fueron quedando en el camino mientras que otros fueron adecuando sus empresas al nuevo escenario, que seguía siendo preocupante</w:t>
      </w:r>
      <w:r w:rsidR="009E1980">
        <w:rPr>
          <w:bCs/>
          <w:sz w:val="40"/>
          <w:szCs w:val="40"/>
        </w:rPr>
        <w:t>”, expresó Príncipe</w:t>
      </w:r>
      <w:r w:rsidRPr="00D36E34">
        <w:rPr>
          <w:bCs/>
          <w:sz w:val="40"/>
          <w:szCs w:val="40"/>
        </w:rPr>
        <w:t xml:space="preserve">. </w:t>
      </w:r>
    </w:p>
    <w:p w:rsidR="00D36E34" w:rsidRPr="00D36E34" w:rsidRDefault="009E1980" w:rsidP="00D36E34">
      <w:pPr>
        <w:rPr>
          <w:bCs/>
          <w:sz w:val="40"/>
          <w:szCs w:val="40"/>
        </w:rPr>
      </w:pPr>
      <w:r>
        <w:rPr>
          <w:bCs/>
          <w:sz w:val="40"/>
          <w:szCs w:val="40"/>
        </w:rPr>
        <w:t>“</w:t>
      </w:r>
      <w:r w:rsidR="00D36E34" w:rsidRPr="00D36E34">
        <w:rPr>
          <w:bCs/>
          <w:sz w:val="40"/>
          <w:szCs w:val="40"/>
        </w:rPr>
        <w:t>Los precios de los autos estaban fuera de control debido a la situación económica reinante y por ende la financiación prácticamente no existía. Pero, julio nos sorprendió. Los volúmenes de venta crecieron en todo el país, registrando el mejor mes de la historia. Las medidas implementadas por el Gobierno Nacional comenzaron a dar sus frutos en el público y esto comenzó de a poco a reactivar la economía. Fueron quedando en el camino los sobreprecios de los vehículos, tanto usados como 0km. Los valores fueron normalizándose y los bancos comenzaron a ofrecer crédito para la compra de vehículos</w:t>
      </w:r>
      <w:r>
        <w:rPr>
          <w:bCs/>
          <w:sz w:val="40"/>
          <w:szCs w:val="40"/>
        </w:rPr>
        <w:t>”, afirmó</w:t>
      </w:r>
      <w:r w:rsidR="00D36E34" w:rsidRPr="00D36E34">
        <w:rPr>
          <w:bCs/>
          <w:sz w:val="40"/>
          <w:szCs w:val="40"/>
        </w:rPr>
        <w:t xml:space="preserve">. </w:t>
      </w:r>
    </w:p>
    <w:p w:rsidR="008C000A" w:rsidRPr="00D36E34" w:rsidRDefault="009E1980" w:rsidP="00D36E34">
      <w:pPr>
        <w:rPr>
          <w:bCs/>
          <w:sz w:val="40"/>
          <w:szCs w:val="40"/>
        </w:rPr>
      </w:pPr>
      <w:r>
        <w:rPr>
          <w:bCs/>
          <w:sz w:val="40"/>
          <w:szCs w:val="40"/>
        </w:rPr>
        <w:t>“</w:t>
      </w:r>
      <w:r w:rsidR="00D36E34" w:rsidRPr="00D36E34">
        <w:rPr>
          <w:bCs/>
          <w:sz w:val="40"/>
          <w:szCs w:val="40"/>
        </w:rPr>
        <w:t>Terminamos el año de una manera completamente diferente a como lo comenzamos. Esperamos un 2025 con recuperación del mercado. Estamos en la buena senda</w:t>
      </w:r>
      <w:r>
        <w:rPr>
          <w:bCs/>
          <w:sz w:val="40"/>
          <w:szCs w:val="40"/>
        </w:rPr>
        <w:t>”, finalizó Príncipe</w:t>
      </w:r>
      <w:r w:rsidR="00D36E34" w:rsidRPr="00D36E34">
        <w:rPr>
          <w:bCs/>
          <w:sz w:val="40"/>
          <w:szCs w:val="40"/>
        </w:rPr>
        <w:t>.</w:t>
      </w:r>
    </w:p>
    <w:p w:rsidR="008B4B0C" w:rsidRDefault="008B4B0C">
      <w:pPr>
        <w:rPr>
          <w:b/>
          <w:bCs/>
          <w:sz w:val="40"/>
          <w:szCs w:val="40"/>
          <w:u w:val="single"/>
        </w:rPr>
      </w:pPr>
    </w:p>
    <w:p w:rsidR="00BE7889" w:rsidRDefault="00BE7889">
      <w:pPr>
        <w:rPr>
          <w:b/>
          <w:bCs/>
          <w:sz w:val="40"/>
          <w:szCs w:val="40"/>
          <w:u w:val="single"/>
        </w:rPr>
      </w:pPr>
    </w:p>
    <w:p w:rsidR="00F541BF" w:rsidRDefault="00936A97">
      <w:pPr>
        <w:rPr>
          <w:sz w:val="40"/>
          <w:szCs w:val="40"/>
        </w:rPr>
      </w:pPr>
      <w:r>
        <w:rPr>
          <w:b/>
          <w:bCs/>
          <w:sz w:val="40"/>
          <w:szCs w:val="40"/>
          <w:u w:val="single"/>
        </w:rPr>
        <w:t>RANKING 10 AU</w:t>
      </w:r>
      <w:r w:rsidR="00E355E0">
        <w:rPr>
          <w:b/>
          <w:bCs/>
          <w:sz w:val="40"/>
          <w:szCs w:val="40"/>
          <w:u w:val="single"/>
        </w:rPr>
        <w:t>T</w:t>
      </w:r>
      <w:r w:rsidR="00C53B09">
        <w:rPr>
          <w:b/>
          <w:bCs/>
          <w:sz w:val="40"/>
          <w:szCs w:val="40"/>
          <w:u w:val="single"/>
        </w:rPr>
        <w:t>OS U</w:t>
      </w:r>
      <w:r w:rsidR="00305806">
        <w:rPr>
          <w:b/>
          <w:bCs/>
          <w:sz w:val="40"/>
          <w:szCs w:val="40"/>
          <w:u w:val="single"/>
        </w:rPr>
        <w:t xml:space="preserve">SADOS MÁS VENDIDOS EN </w:t>
      </w:r>
      <w:r w:rsidR="00BE7889">
        <w:rPr>
          <w:b/>
          <w:bCs/>
          <w:sz w:val="40"/>
          <w:szCs w:val="40"/>
          <w:u w:val="single"/>
        </w:rPr>
        <w:t>DICIEMBRE</w:t>
      </w:r>
    </w:p>
    <w:p w:rsidR="00F541BF" w:rsidRDefault="00F541BF">
      <w:pPr>
        <w:rPr>
          <w:b/>
          <w:bCs/>
          <w:sz w:val="40"/>
          <w:szCs w:val="40"/>
          <w:lang w:val="es-AR"/>
        </w:rPr>
      </w:pPr>
    </w:p>
    <w:p w:rsidR="000001C0" w:rsidRDefault="00E355E0">
      <w:pPr>
        <w:rPr>
          <w:sz w:val="40"/>
          <w:szCs w:val="40"/>
          <w:lang w:val="es-AR"/>
        </w:rPr>
      </w:pPr>
      <w:r>
        <w:rPr>
          <w:sz w:val="40"/>
          <w:szCs w:val="40"/>
          <w:lang w:val="es-AR"/>
        </w:rPr>
        <w:t xml:space="preserve">VW Gol y </w:t>
      </w:r>
      <w:proofErr w:type="spellStart"/>
      <w:r>
        <w:rPr>
          <w:sz w:val="40"/>
          <w:szCs w:val="40"/>
          <w:lang w:val="es-AR"/>
        </w:rPr>
        <w:t>Trend</w:t>
      </w:r>
      <w:proofErr w:type="spellEnd"/>
      <w:r>
        <w:rPr>
          <w:sz w:val="40"/>
          <w:szCs w:val="40"/>
          <w:lang w:val="es-AR"/>
        </w:rPr>
        <w:t xml:space="preserve">: </w:t>
      </w:r>
      <w:r w:rsidR="00334075">
        <w:rPr>
          <w:sz w:val="40"/>
          <w:szCs w:val="40"/>
          <w:lang w:val="es-AR"/>
        </w:rPr>
        <w:t>8.540</w:t>
      </w:r>
    </w:p>
    <w:p w:rsidR="00F541BF" w:rsidRDefault="00334075">
      <w:pPr>
        <w:rPr>
          <w:sz w:val="40"/>
          <w:szCs w:val="40"/>
          <w:lang w:val="es-AR"/>
        </w:rPr>
      </w:pPr>
      <w:r>
        <w:rPr>
          <w:sz w:val="40"/>
          <w:szCs w:val="40"/>
          <w:lang w:val="es-AR"/>
        </w:rPr>
        <w:t xml:space="preserve">Toyota </w:t>
      </w:r>
      <w:proofErr w:type="spellStart"/>
      <w:r>
        <w:rPr>
          <w:sz w:val="40"/>
          <w:szCs w:val="40"/>
          <w:lang w:val="es-AR"/>
        </w:rPr>
        <w:t>Hilux</w:t>
      </w:r>
      <w:proofErr w:type="spellEnd"/>
      <w:r>
        <w:rPr>
          <w:sz w:val="40"/>
          <w:szCs w:val="40"/>
          <w:lang w:val="es-AR"/>
        </w:rPr>
        <w:t>: 6.427</w:t>
      </w:r>
    </w:p>
    <w:p w:rsidR="00334075" w:rsidRDefault="00334075">
      <w:pPr>
        <w:rPr>
          <w:sz w:val="40"/>
          <w:szCs w:val="40"/>
          <w:lang w:val="es-AR"/>
        </w:rPr>
      </w:pPr>
      <w:r>
        <w:rPr>
          <w:sz w:val="40"/>
          <w:szCs w:val="40"/>
          <w:lang w:val="es-AR"/>
        </w:rPr>
        <w:t xml:space="preserve">VW </w:t>
      </w:r>
      <w:proofErr w:type="spellStart"/>
      <w:r>
        <w:rPr>
          <w:sz w:val="40"/>
          <w:szCs w:val="40"/>
          <w:lang w:val="es-AR"/>
        </w:rPr>
        <w:t>Amarok</w:t>
      </w:r>
      <w:proofErr w:type="spellEnd"/>
      <w:r>
        <w:rPr>
          <w:sz w:val="40"/>
          <w:szCs w:val="40"/>
          <w:lang w:val="es-AR"/>
        </w:rPr>
        <w:t>: 4.809</w:t>
      </w:r>
    </w:p>
    <w:p w:rsidR="00F541BF" w:rsidRDefault="00CE3C12">
      <w:pPr>
        <w:rPr>
          <w:sz w:val="40"/>
          <w:szCs w:val="40"/>
          <w:lang w:val="es-AR"/>
        </w:rPr>
      </w:pPr>
      <w:r>
        <w:rPr>
          <w:sz w:val="40"/>
          <w:szCs w:val="40"/>
          <w:lang w:val="es-AR"/>
        </w:rPr>
        <w:t xml:space="preserve">Chevrolet Corsa y </w:t>
      </w:r>
      <w:proofErr w:type="spellStart"/>
      <w:r>
        <w:rPr>
          <w:sz w:val="40"/>
          <w:szCs w:val="40"/>
          <w:lang w:val="es-AR"/>
        </w:rPr>
        <w:t>Classic</w:t>
      </w:r>
      <w:proofErr w:type="spellEnd"/>
      <w:r>
        <w:rPr>
          <w:sz w:val="40"/>
          <w:szCs w:val="40"/>
          <w:lang w:val="es-AR"/>
        </w:rPr>
        <w:t>: 4.</w:t>
      </w:r>
      <w:r w:rsidR="00334075">
        <w:rPr>
          <w:sz w:val="40"/>
          <w:szCs w:val="40"/>
          <w:lang w:val="es-AR"/>
        </w:rPr>
        <w:t>690</w:t>
      </w:r>
    </w:p>
    <w:p w:rsidR="00E355E0" w:rsidRDefault="00334075">
      <w:pPr>
        <w:rPr>
          <w:sz w:val="40"/>
          <w:szCs w:val="40"/>
          <w:lang w:val="es-AR"/>
        </w:rPr>
      </w:pPr>
      <w:r>
        <w:rPr>
          <w:sz w:val="40"/>
          <w:szCs w:val="40"/>
          <w:lang w:val="es-AR"/>
        </w:rPr>
        <w:t xml:space="preserve">Ford </w:t>
      </w:r>
      <w:proofErr w:type="spellStart"/>
      <w:r>
        <w:rPr>
          <w:sz w:val="40"/>
          <w:szCs w:val="40"/>
          <w:lang w:val="es-AR"/>
        </w:rPr>
        <w:t>Ranger</w:t>
      </w:r>
      <w:proofErr w:type="spellEnd"/>
      <w:r>
        <w:rPr>
          <w:sz w:val="40"/>
          <w:szCs w:val="40"/>
          <w:lang w:val="es-AR"/>
        </w:rPr>
        <w:t>: 4.423</w:t>
      </w:r>
    </w:p>
    <w:p w:rsidR="00334075" w:rsidRDefault="00334075">
      <w:pPr>
        <w:rPr>
          <w:sz w:val="40"/>
          <w:szCs w:val="40"/>
          <w:lang w:val="es-AR"/>
        </w:rPr>
      </w:pPr>
      <w:r>
        <w:rPr>
          <w:sz w:val="40"/>
          <w:szCs w:val="40"/>
          <w:lang w:val="es-AR"/>
        </w:rPr>
        <w:t xml:space="preserve">Toyota </w:t>
      </w:r>
      <w:proofErr w:type="spellStart"/>
      <w:r>
        <w:rPr>
          <w:sz w:val="40"/>
          <w:szCs w:val="40"/>
          <w:lang w:val="es-AR"/>
        </w:rPr>
        <w:t>Corolla</w:t>
      </w:r>
      <w:proofErr w:type="spellEnd"/>
      <w:r>
        <w:rPr>
          <w:sz w:val="40"/>
          <w:szCs w:val="40"/>
          <w:lang w:val="es-AR"/>
        </w:rPr>
        <w:t>: 3.482</w:t>
      </w:r>
    </w:p>
    <w:p w:rsidR="00CE3C12" w:rsidRDefault="00334075">
      <w:pPr>
        <w:rPr>
          <w:sz w:val="40"/>
          <w:szCs w:val="40"/>
          <w:lang w:val="es-AR"/>
        </w:rPr>
      </w:pPr>
      <w:r>
        <w:rPr>
          <w:sz w:val="40"/>
          <w:szCs w:val="40"/>
          <w:lang w:val="es-AR"/>
        </w:rPr>
        <w:t xml:space="preserve">Ford </w:t>
      </w:r>
      <w:proofErr w:type="spellStart"/>
      <w:r>
        <w:rPr>
          <w:sz w:val="40"/>
          <w:szCs w:val="40"/>
          <w:lang w:val="es-AR"/>
        </w:rPr>
        <w:t>EcoSport</w:t>
      </w:r>
      <w:proofErr w:type="spellEnd"/>
      <w:r>
        <w:rPr>
          <w:sz w:val="40"/>
          <w:szCs w:val="40"/>
          <w:lang w:val="es-AR"/>
        </w:rPr>
        <w:t>: 3.409</w:t>
      </w:r>
    </w:p>
    <w:p w:rsidR="00305806" w:rsidRDefault="00334075">
      <w:pPr>
        <w:rPr>
          <w:sz w:val="40"/>
          <w:szCs w:val="40"/>
          <w:lang w:val="es-AR"/>
        </w:rPr>
      </w:pPr>
      <w:r>
        <w:rPr>
          <w:sz w:val="40"/>
          <w:szCs w:val="40"/>
          <w:lang w:val="es-AR"/>
        </w:rPr>
        <w:t>Peugeot 208: 3.130</w:t>
      </w:r>
    </w:p>
    <w:p w:rsidR="00305806" w:rsidRDefault="00334075">
      <w:pPr>
        <w:rPr>
          <w:sz w:val="40"/>
          <w:szCs w:val="40"/>
          <w:lang w:val="es-AR"/>
        </w:rPr>
      </w:pPr>
      <w:r>
        <w:rPr>
          <w:sz w:val="40"/>
          <w:szCs w:val="40"/>
          <w:lang w:val="es-AR"/>
        </w:rPr>
        <w:t>Fiat Palio: 2.922</w:t>
      </w:r>
    </w:p>
    <w:p w:rsidR="00FB7BD6" w:rsidRDefault="00305806">
      <w:pPr>
        <w:rPr>
          <w:b/>
          <w:bCs/>
          <w:sz w:val="40"/>
          <w:szCs w:val="40"/>
          <w:u w:val="single"/>
          <w:lang w:val="es-AR"/>
        </w:rPr>
      </w:pPr>
      <w:r>
        <w:rPr>
          <w:sz w:val="40"/>
          <w:szCs w:val="40"/>
          <w:lang w:val="es-AR"/>
        </w:rPr>
        <w:t xml:space="preserve">Ford </w:t>
      </w:r>
      <w:r w:rsidR="00334075">
        <w:rPr>
          <w:sz w:val="40"/>
          <w:szCs w:val="40"/>
          <w:lang w:val="es-AR"/>
        </w:rPr>
        <w:t>Fiesta: 2.793</w:t>
      </w:r>
    </w:p>
    <w:p w:rsidR="004046D1" w:rsidRDefault="004046D1">
      <w:pPr>
        <w:rPr>
          <w:b/>
          <w:bCs/>
          <w:sz w:val="40"/>
          <w:szCs w:val="40"/>
          <w:u w:val="single"/>
          <w:lang w:val="es-AR"/>
        </w:rPr>
      </w:pPr>
    </w:p>
    <w:p w:rsidR="00E14930" w:rsidRDefault="00E14930">
      <w:pPr>
        <w:rPr>
          <w:b/>
          <w:bCs/>
          <w:sz w:val="40"/>
          <w:szCs w:val="40"/>
          <w:u w:val="single"/>
          <w:lang w:val="es-AR"/>
        </w:rPr>
      </w:pPr>
    </w:p>
    <w:p w:rsidR="00E14930" w:rsidRDefault="00E14930">
      <w:pPr>
        <w:rPr>
          <w:b/>
          <w:bCs/>
          <w:sz w:val="40"/>
          <w:szCs w:val="40"/>
          <w:u w:val="single"/>
          <w:lang w:val="es-AR"/>
        </w:rPr>
      </w:pPr>
    </w:p>
    <w:p w:rsidR="00E14930" w:rsidRDefault="00E14930">
      <w:pPr>
        <w:rPr>
          <w:b/>
          <w:bCs/>
          <w:sz w:val="40"/>
          <w:szCs w:val="40"/>
          <w:u w:val="single"/>
          <w:lang w:val="es-AR"/>
        </w:rPr>
      </w:pPr>
      <w:r>
        <w:rPr>
          <w:b/>
          <w:bCs/>
          <w:sz w:val="40"/>
          <w:szCs w:val="40"/>
          <w:u w:val="single"/>
          <w:lang w:val="es-AR"/>
        </w:rPr>
        <w:t>RANKING 10 AUTOS USADOS MÁS VENDIDOS EN 2024</w:t>
      </w:r>
    </w:p>
    <w:p w:rsidR="00E14930" w:rsidRDefault="00E14930">
      <w:pPr>
        <w:rPr>
          <w:b/>
          <w:bCs/>
          <w:sz w:val="40"/>
          <w:szCs w:val="40"/>
          <w:u w:val="single"/>
          <w:lang w:val="es-AR"/>
        </w:rPr>
      </w:pPr>
    </w:p>
    <w:p w:rsidR="00E14930" w:rsidRDefault="00E14930">
      <w:pPr>
        <w:rPr>
          <w:bCs/>
          <w:sz w:val="40"/>
          <w:szCs w:val="40"/>
          <w:lang w:val="es-AR"/>
        </w:rPr>
      </w:pPr>
      <w:r w:rsidRPr="001C4CB0">
        <w:rPr>
          <w:bCs/>
          <w:sz w:val="40"/>
          <w:szCs w:val="40"/>
          <w:lang w:val="es-AR"/>
        </w:rPr>
        <w:t>VW</w:t>
      </w:r>
      <w:r w:rsidR="001C4CB0" w:rsidRPr="001C4CB0">
        <w:rPr>
          <w:bCs/>
          <w:sz w:val="40"/>
          <w:szCs w:val="40"/>
          <w:lang w:val="es-AR"/>
        </w:rPr>
        <w:t xml:space="preserve"> Gol y </w:t>
      </w:r>
      <w:proofErr w:type="spellStart"/>
      <w:r w:rsidR="001C4CB0" w:rsidRPr="001C4CB0">
        <w:rPr>
          <w:bCs/>
          <w:sz w:val="40"/>
          <w:szCs w:val="40"/>
          <w:lang w:val="es-AR"/>
        </w:rPr>
        <w:t>Trend</w:t>
      </w:r>
      <w:proofErr w:type="spellEnd"/>
      <w:r w:rsidR="001C4CB0" w:rsidRPr="001C4CB0">
        <w:rPr>
          <w:bCs/>
          <w:sz w:val="40"/>
          <w:szCs w:val="40"/>
          <w:lang w:val="es-AR"/>
        </w:rPr>
        <w:t>: 100.265</w:t>
      </w:r>
    </w:p>
    <w:p w:rsidR="001C4CB0" w:rsidRDefault="001C4CB0">
      <w:pPr>
        <w:rPr>
          <w:bCs/>
          <w:sz w:val="40"/>
          <w:szCs w:val="40"/>
          <w:lang w:val="es-AR"/>
        </w:rPr>
      </w:pPr>
      <w:r>
        <w:rPr>
          <w:bCs/>
          <w:sz w:val="40"/>
          <w:szCs w:val="40"/>
          <w:lang w:val="es-AR"/>
        </w:rPr>
        <w:t xml:space="preserve">Toyota </w:t>
      </w:r>
      <w:proofErr w:type="spellStart"/>
      <w:r>
        <w:rPr>
          <w:bCs/>
          <w:sz w:val="40"/>
          <w:szCs w:val="40"/>
          <w:lang w:val="es-AR"/>
        </w:rPr>
        <w:t>Hilux</w:t>
      </w:r>
      <w:proofErr w:type="spellEnd"/>
      <w:r>
        <w:rPr>
          <w:bCs/>
          <w:sz w:val="40"/>
          <w:szCs w:val="40"/>
          <w:lang w:val="es-AR"/>
        </w:rPr>
        <w:t>: 66.502</w:t>
      </w:r>
    </w:p>
    <w:p w:rsidR="001C4CB0" w:rsidRDefault="001C4CB0">
      <w:pPr>
        <w:rPr>
          <w:bCs/>
          <w:sz w:val="40"/>
          <w:szCs w:val="40"/>
          <w:lang w:val="es-AR"/>
        </w:rPr>
      </w:pPr>
    </w:p>
    <w:p w:rsidR="001C4CB0" w:rsidRDefault="001C4CB0">
      <w:pPr>
        <w:rPr>
          <w:bCs/>
          <w:sz w:val="40"/>
          <w:szCs w:val="40"/>
          <w:lang w:val="es-AR"/>
        </w:rPr>
      </w:pPr>
    </w:p>
    <w:p w:rsidR="001C4CB0" w:rsidRDefault="001C4CB0">
      <w:pPr>
        <w:rPr>
          <w:bCs/>
          <w:sz w:val="40"/>
          <w:szCs w:val="40"/>
          <w:lang w:val="es-AR"/>
        </w:rPr>
      </w:pPr>
      <w:r>
        <w:rPr>
          <w:bCs/>
          <w:sz w:val="40"/>
          <w:szCs w:val="40"/>
          <w:lang w:val="es-AR"/>
        </w:rPr>
        <w:t>C</w:t>
      </w:r>
      <w:r w:rsidR="00CC416D">
        <w:rPr>
          <w:bCs/>
          <w:sz w:val="40"/>
          <w:szCs w:val="40"/>
          <w:lang w:val="es-AR"/>
        </w:rPr>
        <w:t xml:space="preserve">hevrolet Corsa y </w:t>
      </w:r>
      <w:proofErr w:type="spellStart"/>
      <w:r w:rsidR="00CC416D">
        <w:rPr>
          <w:bCs/>
          <w:sz w:val="40"/>
          <w:szCs w:val="40"/>
          <w:lang w:val="es-AR"/>
        </w:rPr>
        <w:t>Classic</w:t>
      </w:r>
      <w:proofErr w:type="spellEnd"/>
      <w:r w:rsidR="00CC416D">
        <w:rPr>
          <w:bCs/>
          <w:sz w:val="40"/>
          <w:szCs w:val="40"/>
          <w:lang w:val="es-AR"/>
        </w:rPr>
        <w:t>: 53.537</w:t>
      </w:r>
    </w:p>
    <w:p w:rsidR="00CC416D" w:rsidRDefault="00CC416D">
      <w:pPr>
        <w:rPr>
          <w:bCs/>
          <w:sz w:val="40"/>
          <w:szCs w:val="40"/>
          <w:lang w:val="es-AR"/>
        </w:rPr>
      </w:pPr>
      <w:r>
        <w:rPr>
          <w:bCs/>
          <w:sz w:val="40"/>
          <w:szCs w:val="40"/>
          <w:lang w:val="es-AR"/>
        </w:rPr>
        <w:t xml:space="preserve">VW </w:t>
      </w:r>
      <w:proofErr w:type="spellStart"/>
      <w:r>
        <w:rPr>
          <w:bCs/>
          <w:sz w:val="40"/>
          <w:szCs w:val="40"/>
          <w:lang w:val="es-AR"/>
        </w:rPr>
        <w:t>Amarok</w:t>
      </w:r>
      <w:proofErr w:type="spellEnd"/>
      <w:r>
        <w:rPr>
          <w:bCs/>
          <w:sz w:val="40"/>
          <w:szCs w:val="40"/>
          <w:lang w:val="es-AR"/>
        </w:rPr>
        <w:t>: 45.694</w:t>
      </w:r>
    </w:p>
    <w:p w:rsidR="00CC416D" w:rsidRDefault="00CC416D">
      <w:pPr>
        <w:rPr>
          <w:bCs/>
          <w:sz w:val="40"/>
          <w:szCs w:val="40"/>
          <w:lang w:val="es-AR"/>
        </w:rPr>
      </w:pPr>
      <w:r>
        <w:rPr>
          <w:bCs/>
          <w:sz w:val="40"/>
          <w:szCs w:val="40"/>
          <w:lang w:val="es-AR"/>
        </w:rPr>
        <w:t xml:space="preserve">Ford </w:t>
      </w:r>
      <w:proofErr w:type="spellStart"/>
      <w:r>
        <w:rPr>
          <w:bCs/>
          <w:sz w:val="40"/>
          <w:szCs w:val="40"/>
          <w:lang w:val="es-AR"/>
        </w:rPr>
        <w:t>Ranger</w:t>
      </w:r>
      <w:proofErr w:type="spellEnd"/>
      <w:r>
        <w:rPr>
          <w:bCs/>
          <w:sz w:val="40"/>
          <w:szCs w:val="40"/>
          <w:lang w:val="es-AR"/>
        </w:rPr>
        <w:t>: 44.848</w:t>
      </w:r>
    </w:p>
    <w:p w:rsidR="00CC416D" w:rsidRDefault="00CC416D">
      <w:pPr>
        <w:rPr>
          <w:bCs/>
          <w:sz w:val="40"/>
          <w:szCs w:val="40"/>
          <w:lang w:val="es-AR"/>
        </w:rPr>
      </w:pPr>
      <w:r>
        <w:rPr>
          <w:bCs/>
          <w:sz w:val="40"/>
          <w:szCs w:val="40"/>
          <w:lang w:val="es-AR"/>
        </w:rPr>
        <w:t xml:space="preserve">Toyota </w:t>
      </w:r>
      <w:proofErr w:type="spellStart"/>
      <w:r>
        <w:rPr>
          <w:bCs/>
          <w:sz w:val="40"/>
          <w:szCs w:val="40"/>
          <w:lang w:val="es-AR"/>
        </w:rPr>
        <w:t>Corolla</w:t>
      </w:r>
      <w:proofErr w:type="spellEnd"/>
      <w:r>
        <w:rPr>
          <w:bCs/>
          <w:sz w:val="40"/>
          <w:szCs w:val="40"/>
          <w:lang w:val="es-AR"/>
        </w:rPr>
        <w:t>: 34.125</w:t>
      </w:r>
    </w:p>
    <w:p w:rsidR="00CC416D" w:rsidRDefault="00CC416D">
      <w:pPr>
        <w:rPr>
          <w:bCs/>
          <w:sz w:val="40"/>
          <w:szCs w:val="40"/>
          <w:lang w:val="es-AR"/>
        </w:rPr>
      </w:pPr>
      <w:r>
        <w:rPr>
          <w:bCs/>
          <w:sz w:val="40"/>
          <w:szCs w:val="40"/>
          <w:lang w:val="es-AR"/>
        </w:rPr>
        <w:t>Fiat Palio: 34.125</w:t>
      </w:r>
    </w:p>
    <w:p w:rsidR="00CC416D" w:rsidRDefault="00CC416D">
      <w:pPr>
        <w:rPr>
          <w:bCs/>
          <w:sz w:val="40"/>
          <w:szCs w:val="40"/>
          <w:lang w:val="es-AR"/>
        </w:rPr>
      </w:pPr>
      <w:proofErr w:type="spellStart"/>
      <w:r>
        <w:rPr>
          <w:bCs/>
          <w:sz w:val="40"/>
          <w:szCs w:val="40"/>
          <w:lang w:val="es-AR"/>
        </w:rPr>
        <w:t>EcoSport</w:t>
      </w:r>
      <w:proofErr w:type="spellEnd"/>
      <w:r>
        <w:rPr>
          <w:bCs/>
          <w:sz w:val="40"/>
          <w:szCs w:val="40"/>
          <w:lang w:val="es-AR"/>
        </w:rPr>
        <w:t>: 34.062</w:t>
      </w:r>
    </w:p>
    <w:p w:rsidR="00CC416D" w:rsidRDefault="00CC416D">
      <w:pPr>
        <w:rPr>
          <w:bCs/>
          <w:sz w:val="40"/>
          <w:szCs w:val="40"/>
          <w:lang w:val="es-AR"/>
        </w:rPr>
      </w:pPr>
      <w:r>
        <w:rPr>
          <w:bCs/>
          <w:sz w:val="40"/>
          <w:szCs w:val="40"/>
          <w:lang w:val="es-AR"/>
        </w:rPr>
        <w:t>Peugeot 208: 33.627</w:t>
      </w:r>
    </w:p>
    <w:p w:rsidR="00CC416D" w:rsidRDefault="00CC416D">
      <w:pPr>
        <w:rPr>
          <w:bCs/>
          <w:sz w:val="40"/>
          <w:szCs w:val="40"/>
          <w:lang w:val="es-AR"/>
        </w:rPr>
      </w:pPr>
      <w:r>
        <w:rPr>
          <w:bCs/>
          <w:sz w:val="40"/>
          <w:szCs w:val="40"/>
          <w:lang w:val="es-AR"/>
        </w:rPr>
        <w:t xml:space="preserve">Ford </w:t>
      </w:r>
      <w:proofErr w:type="spellStart"/>
      <w:r>
        <w:rPr>
          <w:bCs/>
          <w:sz w:val="40"/>
          <w:szCs w:val="40"/>
          <w:lang w:val="es-AR"/>
        </w:rPr>
        <w:t>Ka</w:t>
      </w:r>
      <w:proofErr w:type="spellEnd"/>
      <w:r>
        <w:rPr>
          <w:bCs/>
          <w:sz w:val="40"/>
          <w:szCs w:val="40"/>
          <w:lang w:val="es-AR"/>
        </w:rPr>
        <w:t>: 31.705</w:t>
      </w:r>
    </w:p>
    <w:p w:rsidR="00CC416D" w:rsidRDefault="00CC416D">
      <w:pPr>
        <w:rPr>
          <w:bCs/>
          <w:sz w:val="40"/>
          <w:szCs w:val="40"/>
          <w:lang w:val="es-AR"/>
        </w:rPr>
      </w:pPr>
    </w:p>
    <w:p w:rsidR="00CC416D" w:rsidRPr="001C4CB0" w:rsidRDefault="00CC416D">
      <w:pPr>
        <w:rPr>
          <w:bCs/>
          <w:sz w:val="40"/>
          <w:szCs w:val="40"/>
          <w:lang w:val="es-AR"/>
        </w:rPr>
      </w:pPr>
    </w:p>
    <w:p w:rsidR="000A661E" w:rsidRDefault="000A661E">
      <w:pPr>
        <w:rPr>
          <w:b/>
          <w:bCs/>
          <w:sz w:val="40"/>
          <w:szCs w:val="40"/>
          <w:u w:val="single"/>
          <w:lang w:val="es-AR"/>
        </w:rPr>
      </w:pPr>
      <w:r>
        <w:rPr>
          <w:b/>
          <w:bCs/>
          <w:sz w:val="40"/>
          <w:szCs w:val="40"/>
          <w:u w:val="single"/>
          <w:lang w:val="es-AR"/>
        </w:rPr>
        <w:t xml:space="preserve">PROVINCIAS QUE CRECIERON EN EL </w:t>
      </w:r>
      <w:r w:rsidR="00CC416D">
        <w:rPr>
          <w:b/>
          <w:bCs/>
          <w:sz w:val="40"/>
          <w:szCs w:val="40"/>
          <w:u w:val="single"/>
          <w:lang w:val="es-AR"/>
        </w:rPr>
        <w:t>AÑO 2024</w:t>
      </w:r>
    </w:p>
    <w:p w:rsidR="004046D1" w:rsidRDefault="004046D1">
      <w:pPr>
        <w:rPr>
          <w:b/>
          <w:bCs/>
          <w:sz w:val="40"/>
          <w:szCs w:val="40"/>
          <w:u w:val="single"/>
          <w:lang w:val="es-AR"/>
        </w:rPr>
      </w:pPr>
    </w:p>
    <w:p w:rsidR="000A661E" w:rsidRDefault="00CC416D">
      <w:pPr>
        <w:rPr>
          <w:bCs/>
          <w:sz w:val="40"/>
          <w:szCs w:val="40"/>
          <w:lang w:val="es-AR"/>
        </w:rPr>
      </w:pPr>
      <w:r>
        <w:rPr>
          <w:bCs/>
          <w:sz w:val="40"/>
          <w:szCs w:val="40"/>
          <w:lang w:val="es-AR"/>
        </w:rPr>
        <w:t>Santa Cruz: 11,26%</w:t>
      </w:r>
    </w:p>
    <w:p w:rsidR="00CC416D" w:rsidRDefault="00CC416D">
      <w:pPr>
        <w:rPr>
          <w:bCs/>
          <w:sz w:val="40"/>
          <w:szCs w:val="40"/>
          <w:lang w:val="es-AR"/>
        </w:rPr>
      </w:pPr>
      <w:r>
        <w:rPr>
          <w:bCs/>
          <w:sz w:val="40"/>
          <w:szCs w:val="40"/>
          <w:lang w:val="es-AR"/>
        </w:rPr>
        <w:t>Neuquén: 10,23%</w:t>
      </w:r>
    </w:p>
    <w:p w:rsidR="00CC416D" w:rsidRDefault="00CC416D">
      <w:pPr>
        <w:rPr>
          <w:bCs/>
          <w:sz w:val="40"/>
          <w:szCs w:val="40"/>
          <w:lang w:val="es-AR"/>
        </w:rPr>
      </w:pPr>
      <w:r>
        <w:rPr>
          <w:bCs/>
          <w:sz w:val="40"/>
          <w:szCs w:val="40"/>
          <w:lang w:val="es-AR"/>
        </w:rPr>
        <w:t>Santa Fe: 8,16%</w:t>
      </w:r>
    </w:p>
    <w:p w:rsidR="00CC416D" w:rsidRDefault="00CC416D">
      <w:pPr>
        <w:rPr>
          <w:bCs/>
          <w:sz w:val="40"/>
          <w:szCs w:val="40"/>
          <w:lang w:val="es-AR"/>
        </w:rPr>
      </w:pPr>
      <w:r>
        <w:rPr>
          <w:bCs/>
          <w:sz w:val="40"/>
          <w:szCs w:val="40"/>
          <w:lang w:val="es-AR"/>
        </w:rPr>
        <w:t>Chaco: 7,97%</w:t>
      </w:r>
    </w:p>
    <w:p w:rsidR="00CC416D" w:rsidRDefault="00CC416D">
      <w:pPr>
        <w:rPr>
          <w:bCs/>
          <w:sz w:val="40"/>
          <w:szCs w:val="40"/>
          <w:lang w:val="es-AR"/>
        </w:rPr>
      </w:pPr>
      <w:r>
        <w:rPr>
          <w:bCs/>
          <w:sz w:val="40"/>
          <w:szCs w:val="40"/>
          <w:lang w:val="es-AR"/>
        </w:rPr>
        <w:t>Córdoba: 7,16%</w:t>
      </w:r>
    </w:p>
    <w:p w:rsidR="00CC416D" w:rsidRDefault="00CC416D">
      <w:pPr>
        <w:rPr>
          <w:bCs/>
          <w:sz w:val="40"/>
          <w:szCs w:val="40"/>
          <w:lang w:val="es-AR"/>
        </w:rPr>
      </w:pPr>
      <w:r>
        <w:rPr>
          <w:bCs/>
          <w:sz w:val="40"/>
          <w:szCs w:val="40"/>
          <w:lang w:val="es-AR"/>
        </w:rPr>
        <w:t>Mendoza: 6,86%</w:t>
      </w:r>
    </w:p>
    <w:p w:rsidR="00CC416D" w:rsidRDefault="00CC416D">
      <w:pPr>
        <w:rPr>
          <w:bCs/>
          <w:sz w:val="40"/>
          <w:szCs w:val="40"/>
          <w:lang w:val="es-AR"/>
        </w:rPr>
      </w:pPr>
      <w:r>
        <w:rPr>
          <w:bCs/>
          <w:sz w:val="40"/>
          <w:szCs w:val="40"/>
          <w:lang w:val="es-AR"/>
        </w:rPr>
        <w:t>Tierra del Fuego: 6,85%</w:t>
      </w:r>
    </w:p>
    <w:p w:rsidR="00CC416D" w:rsidRDefault="00CC416D">
      <w:pPr>
        <w:rPr>
          <w:bCs/>
          <w:sz w:val="40"/>
          <w:szCs w:val="40"/>
          <w:lang w:val="es-AR"/>
        </w:rPr>
      </w:pPr>
      <w:r>
        <w:rPr>
          <w:bCs/>
          <w:sz w:val="40"/>
          <w:szCs w:val="40"/>
          <w:lang w:val="es-AR"/>
        </w:rPr>
        <w:t>La Pampa: 6,63%</w:t>
      </w:r>
    </w:p>
    <w:p w:rsidR="00CC416D" w:rsidRDefault="00CC416D">
      <w:pPr>
        <w:rPr>
          <w:bCs/>
          <w:sz w:val="40"/>
          <w:szCs w:val="40"/>
          <w:lang w:val="es-AR"/>
        </w:rPr>
      </w:pPr>
      <w:proofErr w:type="spellStart"/>
      <w:r>
        <w:rPr>
          <w:bCs/>
          <w:sz w:val="40"/>
          <w:szCs w:val="40"/>
          <w:lang w:val="es-AR"/>
        </w:rPr>
        <w:t>Pcia</w:t>
      </w:r>
      <w:proofErr w:type="spellEnd"/>
      <w:r>
        <w:rPr>
          <w:bCs/>
          <w:sz w:val="40"/>
          <w:szCs w:val="40"/>
          <w:lang w:val="es-AR"/>
        </w:rPr>
        <w:t>. Bs. As.: 5,73%</w:t>
      </w:r>
    </w:p>
    <w:p w:rsidR="00CC416D" w:rsidRDefault="00CC416D">
      <w:pPr>
        <w:rPr>
          <w:bCs/>
          <w:sz w:val="40"/>
          <w:szCs w:val="40"/>
          <w:lang w:val="es-AR"/>
        </w:rPr>
      </w:pPr>
    </w:p>
    <w:p w:rsidR="00CC416D" w:rsidRDefault="00CC416D">
      <w:pPr>
        <w:rPr>
          <w:bCs/>
          <w:sz w:val="40"/>
          <w:szCs w:val="40"/>
          <w:lang w:val="es-AR"/>
        </w:rPr>
      </w:pPr>
    </w:p>
    <w:p w:rsidR="00CC416D" w:rsidRDefault="00CC416D">
      <w:pPr>
        <w:rPr>
          <w:bCs/>
          <w:sz w:val="40"/>
          <w:szCs w:val="40"/>
          <w:lang w:val="es-AR"/>
        </w:rPr>
      </w:pPr>
      <w:r>
        <w:rPr>
          <w:bCs/>
          <w:sz w:val="40"/>
          <w:szCs w:val="40"/>
          <w:lang w:val="es-AR"/>
        </w:rPr>
        <w:t>CABA: 5,43%</w:t>
      </w:r>
    </w:p>
    <w:p w:rsidR="00CC416D" w:rsidRDefault="00CC416D">
      <w:pPr>
        <w:rPr>
          <w:bCs/>
          <w:sz w:val="40"/>
          <w:szCs w:val="40"/>
          <w:lang w:val="es-AR"/>
        </w:rPr>
      </w:pPr>
      <w:r>
        <w:rPr>
          <w:bCs/>
          <w:sz w:val="40"/>
          <w:szCs w:val="40"/>
          <w:lang w:val="es-AR"/>
        </w:rPr>
        <w:t>Chubut: 5,33%</w:t>
      </w:r>
    </w:p>
    <w:p w:rsidR="00CC416D" w:rsidRDefault="00CC416D">
      <w:pPr>
        <w:rPr>
          <w:bCs/>
          <w:sz w:val="40"/>
          <w:szCs w:val="40"/>
          <w:lang w:val="es-AR"/>
        </w:rPr>
      </w:pPr>
      <w:r>
        <w:rPr>
          <w:bCs/>
          <w:sz w:val="40"/>
          <w:szCs w:val="40"/>
          <w:lang w:val="es-AR"/>
        </w:rPr>
        <w:t>Corrientes: 5,17%</w:t>
      </w:r>
    </w:p>
    <w:p w:rsidR="00CC416D" w:rsidRDefault="00CC416D">
      <w:pPr>
        <w:rPr>
          <w:bCs/>
          <w:sz w:val="40"/>
          <w:szCs w:val="40"/>
          <w:lang w:val="es-AR"/>
        </w:rPr>
      </w:pPr>
      <w:r>
        <w:rPr>
          <w:bCs/>
          <w:sz w:val="40"/>
          <w:szCs w:val="40"/>
          <w:lang w:val="es-AR"/>
        </w:rPr>
        <w:t>San Juan: 5,12%</w:t>
      </w:r>
    </w:p>
    <w:p w:rsidR="00CC416D" w:rsidRDefault="00CC416D">
      <w:pPr>
        <w:rPr>
          <w:bCs/>
          <w:sz w:val="40"/>
          <w:szCs w:val="40"/>
          <w:lang w:val="es-AR"/>
        </w:rPr>
      </w:pPr>
      <w:r>
        <w:rPr>
          <w:bCs/>
          <w:sz w:val="40"/>
          <w:szCs w:val="40"/>
          <w:lang w:val="es-AR"/>
        </w:rPr>
        <w:t>Catamarca: 4,70%</w:t>
      </w:r>
    </w:p>
    <w:p w:rsidR="00CC416D" w:rsidRDefault="00CC416D">
      <w:pPr>
        <w:rPr>
          <w:bCs/>
          <w:sz w:val="40"/>
          <w:szCs w:val="40"/>
          <w:lang w:val="es-AR"/>
        </w:rPr>
      </w:pPr>
      <w:r>
        <w:rPr>
          <w:bCs/>
          <w:sz w:val="40"/>
          <w:szCs w:val="40"/>
          <w:lang w:val="es-AR"/>
        </w:rPr>
        <w:t>Río Negro: 4,69%</w:t>
      </w:r>
    </w:p>
    <w:p w:rsidR="00CC416D" w:rsidRDefault="00CC416D">
      <w:pPr>
        <w:rPr>
          <w:bCs/>
          <w:sz w:val="40"/>
          <w:szCs w:val="40"/>
          <w:lang w:val="es-AR"/>
        </w:rPr>
      </w:pPr>
      <w:r>
        <w:rPr>
          <w:bCs/>
          <w:sz w:val="40"/>
          <w:szCs w:val="40"/>
          <w:lang w:val="es-AR"/>
        </w:rPr>
        <w:t>Entre Ríos: 3,87%</w:t>
      </w:r>
    </w:p>
    <w:p w:rsidR="00CC416D" w:rsidRDefault="00CC416D">
      <w:pPr>
        <w:rPr>
          <w:bCs/>
          <w:sz w:val="40"/>
          <w:szCs w:val="40"/>
          <w:lang w:val="es-AR"/>
        </w:rPr>
      </w:pPr>
      <w:r>
        <w:rPr>
          <w:bCs/>
          <w:sz w:val="40"/>
          <w:szCs w:val="40"/>
          <w:lang w:val="es-AR"/>
        </w:rPr>
        <w:t>San Luis: 3,48%</w:t>
      </w:r>
    </w:p>
    <w:p w:rsidR="00CC416D" w:rsidRDefault="00CC416D">
      <w:pPr>
        <w:rPr>
          <w:bCs/>
          <w:sz w:val="40"/>
          <w:szCs w:val="40"/>
          <w:lang w:val="es-AR"/>
        </w:rPr>
      </w:pPr>
    </w:p>
    <w:p w:rsidR="00E50725" w:rsidRPr="00E50725" w:rsidRDefault="00E50725" w:rsidP="00E50725">
      <w:pPr>
        <w:rPr>
          <w:b/>
          <w:bCs/>
          <w:sz w:val="40"/>
          <w:szCs w:val="40"/>
          <w:u w:val="single"/>
        </w:rPr>
      </w:pPr>
      <w:r w:rsidRPr="00E50725">
        <w:rPr>
          <w:b/>
          <w:bCs/>
          <w:sz w:val="40"/>
          <w:szCs w:val="40"/>
          <w:u w:val="single"/>
        </w:rPr>
        <w:t xml:space="preserve">PROVINCIAS QUE BAJARON EN </w:t>
      </w:r>
      <w:r w:rsidR="00CC416D">
        <w:rPr>
          <w:b/>
          <w:bCs/>
          <w:sz w:val="40"/>
          <w:szCs w:val="40"/>
          <w:u w:val="single"/>
        </w:rPr>
        <w:t>2024</w:t>
      </w:r>
    </w:p>
    <w:p w:rsidR="00DC677C" w:rsidRPr="00E50725" w:rsidRDefault="00DC677C">
      <w:pPr>
        <w:rPr>
          <w:bCs/>
          <w:sz w:val="40"/>
          <w:szCs w:val="40"/>
          <w:u w:val="single"/>
        </w:rPr>
      </w:pPr>
    </w:p>
    <w:p w:rsidR="00DC677C" w:rsidRDefault="00CC416D">
      <w:pPr>
        <w:rPr>
          <w:bCs/>
          <w:sz w:val="40"/>
          <w:szCs w:val="40"/>
        </w:rPr>
      </w:pPr>
      <w:r>
        <w:rPr>
          <w:bCs/>
          <w:sz w:val="40"/>
          <w:szCs w:val="40"/>
        </w:rPr>
        <w:t>Formosa: 13,10</w:t>
      </w:r>
      <w:r w:rsidR="00E50725">
        <w:rPr>
          <w:bCs/>
          <w:sz w:val="40"/>
          <w:szCs w:val="40"/>
        </w:rPr>
        <w:t>%</w:t>
      </w:r>
    </w:p>
    <w:p w:rsidR="00E50725" w:rsidRDefault="00CC416D">
      <w:pPr>
        <w:rPr>
          <w:bCs/>
          <w:sz w:val="40"/>
          <w:szCs w:val="40"/>
        </w:rPr>
      </w:pPr>
      <w:r>
        <w:rPr>
          <w:bCs/>
          <w:sz w:val="40"/>
          <w:szCs w:val="40"/>
        </w:rPr>
        <w:t>Misiones: 6,73%</w:t>
      </w:r>
    </w:p>
    <w:p w:rsidR="00CC416D" w:rsidRDefault="00CC416D">
      <w:pPr>
        <w:rPr>
          <w:bCs/>
          <w:sz w:val="40"/>
          <w:szCs w:val="40"/>
        </w:rPr>
      </w:pPr>
      <w:r>
        <w:rPr>
          <w:bCs/>
          <w:sz w:val="40"/>
          <w:szCs w:val="40"/>
        </w:rPr>
        <w:t>Santiago del Estero: 4,67%</w:t>
      </w:r>
    </w:p>
    <w:p w:rsidR="009E1980" w:rsidRDefault="009E1980">
      <w:pPr>
        <w:rPr>
          <w:bCs/>
          <w:sz w:val="40"/>
          <w:szCs w:val="40"/>
        </w:rPr>
      </w:pPr>
      <w:r>
        <w:rPr>
          <w:bCs/>
          <w:sz w:val="40"/>
          <w:szCs w:val="40"/>
        </w:rPr>
        <w:t>La Rioja: 4,06%</w:t>
      </w:r>
    </w:p>
    <w:p w:rsidR="009E1980" w:rsidRDefault="009E1980">
      <w:pPr>
        <w:rPr>
          <w:bCs/>
          <w:sz w:val="40"/>
          <w:szCs w:val="40"/>
        </w:rPr>
      </w:pPr>
      <w:r>
        <w:rPr>
          <w:bCs/>
          <w:sz w:val="40"/>
          <w:szCs w:val="40"/>
        </w:rPr>
        <w:t>Jujuy: 3,51%</w:t>
      </w:r>
    </w:p>
    <w:p w:rsidR="009E1980" w:rsidRDefault="009E1980">
      <w:pPr>
        <w:rPr>
          <w:bCs/>
          <w:sz w:val="40"/>
          <w:szCs w:val="40"/>
        </w:rPr>
      </w:pPr>
      <w:r>
        <w:rPr>
          <w:bCs/>
          <w:sz w:val="40"/>
          <w:szCs w:val="40"/>
        </w:rPr>
        <w:t>Salta: 1,40%</w:t>
      </w:r>
    </w:p>
    <w:p w:rsidR="009E1980" w:rsidRDefault="009E1980">
      <w:pPr>
        <w:rPr>
          <w:bCs/>
          <w:sz w:val="40"/>
          <w:szCs w:val="40"/>
        </w:rPr>
      </w:pPr>
      <w:r>
        <w:rPr>
          <w:bCs/>
          <w:sz w:val="40"/>
          <w:szCs w:val="40"/>
        </w:rPr>
        <w:t>Tucumán: 1,09%</w:t>
      </w:r>
    </w:p>
    <w:p w:rsidR="009E1980" w:rsidRDefault="009E1980">
      <w:pPr>
        <w:rPr>
          <w:bCs/>
          <w:sz w:val="40"/>
          <w:szCs w:val="40"/>
        </w:rPr>
      </w:pPr>
    </w:p>
    <w:p w:rsidR="00E50725" w:rsidRDefault="00E50725">
      <w:pPr>
        <w:rPr>
          <w:bCs/>
          <w:sz w:val="40"/>
          <w:szCs w:val="40"/>
        </w:rPr>
      </w:pPr>
    </w:p>
    <w:p w:rsidR="00E50725" w:rsidRDefault="00E50725">
      <w:pPr>
        <w:rPr>
          <w:bCs/>
          <w:sz w:val="40"/>
          <w:szCs w:val="40"/>
        </w:rPr>
      </w:pPr>
      <w:r>
        <w:rPr>
          <w:bCs/>
          <w:sz w:val="40"/>
          <w:szCs w:val="40"/>
        </w:rPr>
        <w:t xml:space="preserve">Buenos Aires, </w:t>
      </w:r>
      <w:r w:rsidR="00E14930">
        <w:rPr>
          <w:bCs/>
          <w:sz w:val="40"/>
          <w:szCs w:val="40"/>
        </w:rPr>
        <w:t>enero 2025</w:t>
      </w:r>
    </w:p>
    <w:p w:rsidR="00430029" w:rsidRDefault="00430029">
      <w:pPr>
        <w:rPr>
          <w:bCs/>
          <w:sz w:val="40"/>
          <w:szCs w:val="40"/>
        </w:rPr>
      </w:pPr>
    </w:p>
    <w:p w:rsidR="00430029" w:rsidRDefault="00430029">
      <w:pPr>
        <w:rPr>
          <w:bCs/>
          <w:sz w:val="40"/>
          <w:szCs w:val="40"/>
        </w:rPr>
      </w:pPr>
    </w:p>
    <w:p w:rsidR="00F541BF" w:rsidRDefault="00F541BF">
      <w:pPr>
        <w:rPr>
          <w:b/>
          <w:bCs/>
          <w:sz w:val="40"/>
          <w:szCs w:val="40"/>
        </w:rPr>
      </w:pPr>
    </w:p>
    <w:sectPr w:rsidR="00F541BF">
      <w:headerReference w:type="default" r:id="rId7"/>
      <w:footerReference w:type="default" r:id="rId8"/>
      <w:pgSz w:w="12240" w:h="15840"/>
      <w:pgMar w:top="777" w:right="1418" w:bottom="1559" w:left="1418" w:header="720" w:footer="129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76" w:rsidRDefault="002A0476">
      <w:r>
        <w:separator/>
      </w:r>
    </w:p>
  </w:endnote>
  <w:endnote w:type="continuationSeparator" w:id="0">
    <w:p w:rsidR="002A0476" w:rsidRDefault="002A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BF" w:rsidRDefault="00936A97">
    <w:pPr>
      <w:spacing w:before="120"/>
      <w:jc w:val="center"/>
      <w:rPr>
        <w:sz w:val="20"/>
      </w:rPr>
    </w:pPr>
    <w:r>
      <w:rPr>
        <w:sz w:val="20"/>
      </w:rPr>
      <w:t>SOLER 3909 - (1425)  BUENOS AIRES   TEL. 4824-7272/9505/9498/9489   FAX. 4822-7453  4823-1837</w:t>
    </w:r>
  </w:p>
  <w:p w:rsidR="00F541BF" w:rsidRDefault="00936A97">
    <w:pPr>
      <w:pStyle w:val="Piedepgina1"/>
    </w:pPr>
    <w:r>
      <w:tab/>
      <w:t>http://www.cca.org.ar---- e-mail: cca@cca.org.ar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76" w:rsidRDefault="002A0476">
      <w:r>
        <w:separator/>
      </w:r>
    </w:p>
  </w:footnote>
  <w:footnote w:type="continuationSeparator" w:id="0">
    <w:p w:rsidR="002A0476" w:rsidRDefault="002A0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BF" w:rsidRDefault="00936A97">
    <w:pPr>
      <w:pStyle w:val="Epgrafe"/>
      <w:rPr>
        <w:lang w:val="es-AR" w:eastAsia="es-AR"/>
      </w:rPr>
    </w:pPr>
    <w:r>
      <w:rPr>
        <w:noProof/>
        <w:lang w:val="es-AR" w:eastAsia="es-AR"/>
      </w:rPr>
      <w:drawing>
        <wp:anchor distT="0" distB="0" distL="114935" distR="114935" simplePos="0" relativeHeight="8" behindDoc="1" locked="0" layoutInCell="0" allowOverlap="1">
          <wp:simplePos x="0" y="0"/>
          <wp:positionH relativeFrom="column">
            <wp:posOffset>2303780</wp:posOffset>
          </wp:positionH>
          <wp:positionV relativeFrom="paragraph">
            <wp:posOffset>7620</wp:posOffset>
          </wp:positionV>
          <wp:extent cx="1120140" cy="1150620"/>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rcRect l="-77" t="-75" r="-77" b="-75"/>
                  <a:stretch>
                    <a:fillRect/>
                  </a:stretch>
                </pic:blipFill>
                <pic:spPr bwMode="auto">
                  <a:xfrm>
                    <a:off x="0" y="0"/>
                    <a:ext cx="1120140" cy="1150620"/>
                  </a:xfrm>
                  <a:prstGeom prst="rect">
                    <a:avLst/>
                  </a:prstGeom>
                </pic:spPr>
              </pic:pic>
            </a:graphicData>
          </a:graphic>
        </wp:anchor>
      </w:drawing>
    </w:r>
  </w:p>
  <w:p w:rsidR="00F541BF" w:rsidRDefault="00F541BF">
    <w:pPr>
      <w:pStyle w:val="Epgrafe"/>
    </w:pPr>
  </w:p>
  <w:p w:rsidR="00F541BF" w:rsidRDefault="00F541BF">
    <w:pPr>
      <w:pStyle w:val="Epgrafe"/>
    </w:pPr>
  </w:p>
  <w:p w:rsidR="00F541BF" w:rsidRDefault="00F541BF">
    <w:pPr>
      <w:pStyle w:val="Epgrafe"/>
    </w:pPr>
  </w:p>
  <w:p w:rsidR="00F541BF" w:rsidRDefault="00F541BF">
    <w:pPr>
      <w:pStyle w:val="Epgrafe"/>
    </w:pPr>
  </w:p>
  <w:p w:rsidR="00F541BF" w:rsidRDefault="00F541BF">
    <w:pPr>
      <w:pStyle w:val="Epgrafe"/>
    </w:pPr>
  </w:p>
  <w:p w:rsidR="00F541BF" w:rsidRDefault="00F541BF">
    <w:pPr>
      <w:pStyle w:val="Epgrafe"/>
    </w:pPr>
  </w:p>
  <w:p w:rsidR="00F541BF" w:rsidRDefault="00936A97">
    <w:pPr>
      <w:pStyle w:val="Epgrafe"/>
    </w:pPr>
    <w:r>
      <w:t>CAMARA DEL COMERCIO AUTOMOTOR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BF"/>
    <w:rsid w:val="000001C0"/>
    <w:rsid w:val="000A52FC"/>
    <w:rsid w:val="000A661E"/>
    <w:rsid w:val="000E7A50"/>
    <w:rsid w:val="00107DAF"/>
    <w:rsid w:val="00143932"/>
    <w:rsid w:val="001B2998"/>
    <w:rsid w:val="001C4CB0"/>
    <w:rsid w:val="001E53DF"/>
    <w:rsid w:val="00234CE1"/>
    <w:rsid w:val="002A0476"/>
    <w:rsid w:val="00305806"/>
    <w:rsid w:val="00334075"/>
    <w:rsid w:val="003761FD"/>
    <w:rsid w:val="003E078A"/>
    <w:rsid w:val="004046D1"/>
    <w:rsid w:val="00430029"/>
    <w:rsid w:val="004651FF"/>
    <w:rsid w:val="00497180"/>
    <w:rsid w:val="004B25BB"/>
    <w:rsid w:val="004C567D"/>
    <w:rsid w:val="00520D84"/>
    <w:rsid w:val="00554832"/>
    <w:rsid w:val="00555478"/>
    <w:rsid w:val="005C4397"/>
    <w:rsid w:val="00642821"/>
    <w:rsid w:val="007A385E"/>
    <w:rsid w:val="007D144F"/>
    <w:rsid w:val="00804304"/>
    <w:rsid w:val="00843D85"/>
    <w:rsid w:val="00851E5B"/>
    <w:rsid w:val="00866536"/>
    <w:rsid w:val="008B4B0C"/>
    <w:rsid w:val="008C000A"/>
    <w:rsid w:val="00926CDB"/>
    <w:rsid w:val="00934288"/>
    <w:rsid w:val="00936A97"/>
    <w:rsid w:val="00986ADE"/>
    <w:rsid w:val="009C5237"/>
    <w:rsid w:val="009E1980"/>
    <w:rsid w:val="00AA0DAB"/>
    <w:rsid w:val="00B26C07"/>
    <w:rsid w:val="00BE7889"/>
    <w:rsid w:val="00C20022"/>
    <w:rsid w:val="00C22020"/>
    <w:rsid w:val="00C53B09"/>
    <w:rsid w:val="00CC416D"/>
    <w:rsid w:val="00CE3C12"/>
    <w:rsid w:val="00D36E34"/>
    <w:rsid w:val="00D371A4"/>
    <w:rsid w:val="00DA0117"/>
    <w:rsid w:val="00DC677C"/>
    <w:rsid w:val="00E14930"/>
    <w:rsid w:val="00E355E0"/>
    <w:rsid w:val="00E50725"/>
    <w:rsid w:val="00E97C23"/>
    <w:rsid w:val="00EC08CD"/>
    <w:rsid w:val="00F541BF"/>
    <w:rsid w:val="00F60798"/>
    <w:rsid w:val="00F8161E"/>
    <w:rsid w:val="00FA36A5"/>
    <w:rsid w:val="00FB7BD6"/>
    <w:rsid w:val="00FC38A1"/>
    <w:rsid w:val="00FE0B4F"/>
    <w:rsid w:val="00FF5A94"/>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597</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Roberto</cp:lastModifiedBy>
  <cp:revision>7</cp:revision>
  <dcterms:created xsi:type="dcterms:W3CDTF">2025-01-07T16:36:00Z</dcterms:created>
  <dcterms:modified xsi:type="dcterms:W3CDTF">2025-01-07T17:56:00Z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