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BF" w:rsidRDefault="00F541BF">
      <w:pPr>
        <w:rPr>
          <w:lang w:val="es-MX"/>
        </w:rPr>
      </w:pPr>
    </w:p>
    <w:p w:rsidR="00F541BF" w:rsidRDefault="00F541BF">
      <w:pPr>
        <w:rPr>
          <w:b/>
          <w:bCs/>
          <w:sz w:val="52"/>
          <w:szCs w:val="52"/>
        </w:rPr>
      </w:pPr>
    </w:p>
    <w:p w:rsidR="00F541BF" w:rsidRDefault="00936A9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INFORMACION DE PRENSA</w:t>
      </w:r>
    </w:p>
    <w:p w:rsidR="00F541BF" w:rsidRDefault="00F541BF">
      <w:pPr>
        <w:rPr>
          <w:sz w:val="52"/>
          <w:szCs w:val="52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3761F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EN </w:t>
      </w:r>
      <w:r w:rsidR="004046D1">
        <w:rPr>
          <w:b/>
          <w:sz w:val="44"/>
          <w:szCs w:val="44"/>
          <w:u w:val="single"/>
        </w:rPr>
        <w:t>OCTUBRE</w:t>
      </w:r>
      <w:r>
        <w:rPr>
          <w:b/>
          <w:sz w:val="44"/>
          <w:szCs w:val="44"/>
          <w:u w:val="single"/>
        </w:rPr>
        <w:t xml:space="preserve"> SE VENDIERON </w:t>
      </w:r>
      <w:r w:rsidR="004046D1">
        <w:rPr>
          <w:b/>
          <w:sz w:val="44"/>
          <w:szCs w:val="44"/>
          <w:u w:val="single"/>
        </w:rPr>
        <w:t>171.606</w:t>
      </w:r>
      <w:r w:rsidR="00C20022">
        <w:rPr>
          <w:b/>
          <w:sz w:val="44"/>
          <w:szCs w:val="44"/>
          <w:u w:val="single"/>
        </w:rPr>
        <w:t xml:space="preserve"> AUTOS </w:t>
      </w:r>
      <w:r w:rsidR="00E355E0">
        <w:rPr>
          <w:b/>
          <w:sz w:val="44"/>
          <w:szCs w:val="44"/>
          <w:u w:val="single"/>
        </w:rPr>
        <w:t>USADOS</w:t>
      </w:r>
      <w:r w:rsidR="003E078A">
        <w:rPr>
          <w:b/>
          <w:sz w:val="44"/>
          <w:szCs w:val="44"/>
          <w:u w:val="single"/>
        </w:rPr>
        <w:t xml:space="preserve"> </w:t>
      </w:r>
    </w:p>
    <w:p w:rsidR="004046D1" w:rsidRDefault="004046D1">
      <w:pPr>
        <w:rPr>
          <w:b/>
          <w:sz w:val="44"/>
          <w:szCs w:val="44"/>
          <w:u w:val="single"/>
        </w:rPr>
      </w:pPr>
    </w:p>
    <w:p w:rsidR="004046D1" w:rsidRDefault="004046D1">
      <w:pPr>
        <w:rPr>
          <w:b/>
          <w:sz w:val="44"/>
          <w:szCs w:val="44"/>
          <w:u w:val="single"/>
        </w:rPr>
      </w:pPr>
    </w:p>
    <w:p w:rsidR="00F541BF" w:rsidRDefault="004046D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EN LOS PRIMEROS 10</w:t>
      </w:r>
      <w:r w:rsidR="00C20022">
        <w:rPr>
          <w:b/>
          <w:sz w:val="44"/>
          <w:szCs w:val="44"/>
          <w:u w:val="single"/>
        </w:rPr>
        <w:t xml:space="preserve"> </w:t>
      </w:r>
      <w:r w:rsidR="00936A97">
        <w:rPr>
          <w:b/>
          <w:sz w:val="44"/>
          <w:szCs w:val="44"/>
          <w:u w:val="single"/>
        </w:rPr>
        <w:t xml:space="preserve">MESES DEL AÑO SE COMERCIALIZARON </w:t>
      </w:r>
      <w:r w:rsidR="003761FD">
        <w:rPr>
          <w:b/>
          <w:sz w:val="44"/>
          <w:szCs w:val="44"/>
          <w:u w:val="single"/>
        </w:rPr>
        <w:t>1.</w:t>
      </w:r>
      <w:r>
        <w:rPr>
          <w:b/>
          <w:sz w:val="44"/>
          <w:szCs w:val="44"/>
          <w:u w:val="single"/>
        </w:rPr>
        <w:t>433.622</w:t>
      </w:r>
      <w:r w:rsidR="00936A97">
        <w:rPr>
          <w:b/>
          <w:sz w:val="44"/>
          <w:szCs w:val="44"/>
          <w:u w:val="single"/>
        </w:rPr>
        <w:t xml:space="preserve"> VEHÍCULOS</w:t>
      </w: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936A97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>EL AUTO USADO MÁS VENDIDO SIGUE SIENDO EL VW GOL</w:t>
      </w:r>
    </w:p>
    <w:p w:rsidR="00F541BF" w:rsidRDefault="00F541BF">
      <w:pPr>
        <w:rPr>
          <w:sz w:val="44"/>
          <w:szCs w:val="44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1E53DF" w:rsidRDefault="001E53DF">
      <w:pPr>
        <w:rPr>
          <w:sz w:val="40"/>
          <w:szCs w:val="40"/>
        </w:rPr>
      </w:pPr>
    </w:p>
    <w:p w:rsidR="001E53DF" w:rsidRDefault="001E53DF">
      <w:pPr>
        <w:rPr>
          <w:sz w:val="40"/>
          <w:szCs w:val="40"/>
        </w:rPr>
      </w:pPr>
    </w:p>
    <w:p w:rsidR="003761FD" w:rsidRDefault="003761FD">
      <w:pPr>
        <w:rPr>
          <w:sz w:val="40"/>
          <w:szCs w:val="40"/>
        </w:rPr>
      </w:pPr>
    </w:p>
    <w:p w:rsidR="00F541BF" w:rsidRDefault="00936A97">
      <w:pPr>
        <w:rPr>
          <w:sz w:val="40"/>
          <w:szCs w:val="40"/>
        </w:rPr>
      </w:pPr>
      <w:r>
        <w:rPr>
          <w:sz w:val="40"/>
          <w:szCs w:val="40"/>
        </w:rPr>
        <w:t>La Cámara del Comercio Automotor (CCA)</w:t>
      </w:r>
      <w:r w:rsidR="003761FD">
        <w:rPr>
          <w:sz w:val="40"/>
          <w:szCs w:val="40"/>
        </w:rPr>
        <w:t xml:space="preserve"> informó que en el mes de </w:t>
      </w:r>
      <w:r w:rsidR="004046D1">
        <w:rPr>
          <w:sz w:val="40"/>
          <w:szCs w:val="40"/>
        </w:rPr>
        <w:t>octubre</w:t>
      </w:r>
      <w:r w:rsidR="00C20022">
        <w:rPr>
          <w:sz w:val="40"/>
          <w:szCs w:val="40"/>
        </w:rPr>
        <w:t xml:space="preserve"> </w:t>
      </w:r>
      <w:r>
        <w:rPr>
          <w:sz w:val="40"/>
          <w:szCs w:val="40"/>
        </w:rPr>
        <w:t>se c</w:t>
      </w:r>
      <w:r w:rsidR="004046D1">
        <w:rPr>
          <w:sz w:val="40"/>
          <w:szCs w:val="40"/>
        </w:rPr>
        <w:t>omercializó en Argentina 171.606</w:t>
      </w:r>
      <w:r>
        <w:rPr>
          <w:sz w:val="40"/>
          <w:szCs w:val="40"/>
        </w:rPr>
        <w:t xml:space="preserve"> vehí</w:t>
      </w:r>
      <w:r w:rsidR="004046D1">
        <w:rPr>
          <w:sz w:val="40"/>
          <w:szCs w:val="40"/>
        </w:rPr>
        <w:t>culos usados, una suba del 21,23</w:t>
      </w:r>
      <w:r>
        <w:rPr>
          <w:sz w:val="40"/>
          <w:szCs w:val="40"/>
        </w:rPr>
        <w:t>% comparado</w:t>
      </w:r>
      <w:r w:rsidR="004046D1">
        <w:rPr>
          <w:sz w:val="40"/>
          <w:szCs w:val="40"/>
        </w:rPr>
        <w:t xml:space="preserve"> con igual mes de 2023 (141.550</w:t>
      </w:r>
      <w:r w:rsidR="00C20022">
        <w:rPr>
          <w:sz w:val="40"/>
          <w:szCs w:val="40"/>
        </w:rPr>
        <w:t xml:space="preserve"> </w:t>
      </w:r>
      <w:r>
        <w:rPr>
          <w:sz w:val="40"/>
          <w:szCs w:val="40"/>
        </w:rPr>
        <w:t>unidades).</w:t>
      </w:r>
    </w:p>
    <w:p w:rsidR="00F541BF" w:rsidRDefault="00F541BF">
      <w:pPr>
        <w:rPr>
          <w:sz w:val="40"/>
          <w:szCs w:val="40"/>
        </w:rPr>
      </w:pPr>
    </w:p>
    <w:p w:rsidR="004046D1" w:rsidRDefault="004046D1">
      <w:pPr>
        <w:rPr>
          <w:sz w:val="40"/>
          <w:szCs w:val="40"/>
        </w:rPr>
      </w:pPr>
    </w:p>
    <w:p w:rsidR="00F541BF" w:rsidRDefault="004046D1">
      <w:pPr>
        <w:rPr>
          <w:sz w:val="40"/>
          <w:szCs w:val="40"/>
        </w:rPr>
      </w:pPr>
      <w:r>
        <w:rPr>
          <w:sz w:val="40"/>
          <w:szCs w:val="40"/>
        </w:rPr>
        <w:t>Si lo comparamos con septiembre (162.515</w:t>
      </w:r>
      <w:r w:rsidR="003761FD">
        <w:rPr>
          <w:sz w:val="40"/>
          <w:szCs w:val="40"/>
        </w:rPr>
        <w:t xml:space="preserve"> </w:t>
      </w:r>
      <w:r w:rsidR="00936A97">
        <w:rPr>
          <w:sz w:val="40"/>
          <w:szCs w:val="40"/>
        </w:rPr>
        <w:t xml:space="preserve">vehículos), </w:t>
      </w:r>
      <w:r>
        <w:rPr>
          <w:sz w:val="40"/>
          <w:szCs w:val="40"/>
        </w:rPr>
        <w:t>la suba fue</w:t>
      </w:r>
      <w:r w:rsidR="000A52FC">
        <w:rPr>
          <w:sz w:val="40"/>
          <w:szCs w:val="40"/>
        </w:rPr>
        <w:t xml:space="preserve"> del 5,59</w:t>
      </w:r>
      <w:r w:rsidR="00936A97">
        <w:rPr>
          <w:sz w:val="40"/>
          <w:szCs w:val="40"/>
        </w:rPr>
        <w:t>%.</w:t>
      </w:r>
    </w:p>
    <w:p w:rsidR="00F541BF" w:rsidRDefault="00F541BF">
      <w:pPr>
        <w:rPr>
          <w:sz w:val="40"/>
          <w:szCs w:val="40"/>
        </w:rPr>
      </w:pPr>
    </w:p>
    <w:p w:rsidR="00FE0B4F" w:rsidRDefault="00FE0B4F">
      <w:pPr>
        <w:rPr>
          <w:sz w:val="40"/>
          <w:szCs w:val="40"/>
        </w:rPr>
      </w:pPr>
    </w:p>
    <w:p w:rsidR="004046D1" w:rsidRDefault="004046D1">
      <w:pPr>
        <w:rPr>
          <w:sz w:val="40"/>
          <w:szCs w:val="40"/>
        </w:rPr>
      </w:pPr>
    </w:p>
    <w:p w:rsidR="00F541BF" w:rsidRDefault="004046D1">
      <w:pPr>
        <w:rPr>
          <w:sz w:val="40"/>
          <w:szCs w:val="40"/>
        </w:rPr>
      </w:pPr>
      <w:r>
        <w:rPr>
          <w:sz w:val="40"/>
          <w:szCs w:val="40"/>
        </w:rPr>
        <w:t>En los 10</w:t>
      </w:r>
      <w:r w:rsidR="00936A97">
        <w:rPr>
          <w:sz w:val="40"/>
          <w:szCs w:val="40"/>
        </w:rPr>
        <w:t xml:space="preserve"> primeros meses del</w:t>
      </w:r>
      <w:r w:rsidR="00C20022">
        <w:rPr>
          <w:sz w:val="40"/>
          <w:szCs w:val="40"/>
        </w:rPr>
        <w:t xml:space="preserve"> año se </w:t>
      </w:r>
      <w:r w:rsidR="001B2998">
        <w:rPr>
          <w:sz w:val="40"/>
          <w:szCs w:val="40"/>
        </w:rPr>
        <w:t xml:space="preserve">vendieron </w:t>
      </w:r>
      <w:r>
        <w:rPr>
          <w:sz w:val="40"/>
          <w:szCs w:val="40"/>
        </w:rPr>
        <w:t xml:space="preserve">1.433.622 unidades, una suba del 2,40% </w:t>
      </w:r>
      <w:r w:rsidR="00936A97">
        <w:rPr>
          <w:sz w:val="40"/>
          <w:szCs w:val="40"/>
        </w:rPr>
        <w:t>en comparación co</w:t>
      </w:r>
      <w:r w:rsidR="00C20022">
        <w:rPr>
          <w:sz w:val="40"/>
          <w:szCs w:val="40"/>
        </w:rPr>
        <w:t xml:space="preserve">n </w:t>
      </w:r>
      <w:r>
        <w:rPr>
          <w:sz w:val="40"/>
          <w:szCs w:val="40"/>
        </w:rPr>
        <w:t>igual período de 2023 (1.400.057</w:t>
      </w:r>
      <w:r w:rsidR="00936A97">
        <w:rPr>
          <w:sz w:val="40"/>
          <w:szCs w:val="40"/>
        </w:rPr>
        <w:t xml:space="preserve"> unidades).</w:t>
      </w: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936A97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DECLARACIONES DE </w:t>
      </w:r>
      <w:r w:rsidR="000001C0">
        <w:rPr>
          <w:b/>
          <w:sz w:val="40"/>
          <w:szCs w:val="40"/>
          <w:u w:val="single"/>
        </w:rPr>
        <w:t xml:space="preserve">ALEJANDRO LAMAS, SECRETARIO </w:t>
      </w:r>
      <w:r>
        <w:rPr>
          <w:b/>
          <w:sz w:val="40"/>
          <w:szCs w:val="40"/>
          <w:u w:val="single"/>
        </w:rPr>
        <w:t>DE LA CÁMARA DEL COMERCIO AUTOMOTOR</w:t>
      </w:r>
    </w:p>
    <w:p w:rsidR="00F541BF" w:rsidRDefault="00F541BF">
      <w:pPr>
        <w:rPr>
          <w:b/>
          <w:sz w:val="48"/>
          <w:szCs w:val="48"/>
          <w:u w:val="single"/>
        </w:rPr>
      </w:pPr>
    </w:p>
    <w:p w:rsidR="008C000A" w:rsidRDefault="008C000A" w:rsidP="008C000A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Pr="008C000A">
        <w:rPr>
          <w:sz w:val="36"/>
          <w:szCs w:val="36"/>
        </w:rPr>
        <w:t>El mes de octubre ha marcado un fuerte crecimiento en las ventas de autos usados en sus tres variables: comparado con igual mes del año pasado, con septiembre y en el acumulado del año. Además, es el segundo mejor octubre de la historia del sector. El anterior fue en 2013 con apenas 80 unidades más</w:t>
      </w:r>
      <w:r>
        <w:rPr>
          <w:sz w:val="36"/>
          <w:szCs w:val="36"/>
        </w:rPr>
        <w:t xml:space="preserve">”, expresó </w:t>
      </w:r>
      <w:r w:rsidR="000001C0">
        <w:rPr>
          <w:sz w:val="36"/>
          <w:szCs w:val="36"/>
        </w:rPr>
        <w:t>Alejandro Lamas, secretario de la CCA.</w:t>
      </w:r>
    </w:p>
    <w:p w:rsidR="008C000A" w:rsidRDefault="008C000A" w:rsidP="008C000A">
      <w:pPr>
        <w:rPr>
          <w:sz w:val="36"/>
          <w:szCs w:val="36"/>
        </w:rPr>
      </w:pPr>
    </w:p>
    <w:p w:rsidR="008C000A" w:rsidRPr="008C000A" w:rsidRDefault="008C000A" w:rsidP="008C000A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Pr="008C000A">
        <w:rPr>
          <w:sz w:val="36"/>
          <w:szCs w:val="36"/>
        </w:rPr>
        <w:t>Este volumen de ventas nos está marcando una clara señal de recuperación de la actividad, producto de políticas económicas acertadas de parte del ejecutivo</w:t>
      </w:r>
      <w:r>
        <w:rPr>
          <w:sz w:val="36"/>
          <w:szCs w:val="36"/>
        </w:rPr>
        <w:t>”, mencionó el directivo</w:t>
      </w:r>
      <w:r w:rsidRPr="008C000A">
        <w:rPr>
          <w:sz w:val="36"/>
          <w:szCs w:val="36"/>
        </w:rPr>
        <w:t>.</w:t>
      </w:r>
    </w:p>
    <w:p w:rsidR="008C000A" w:rsidRDefault="008C000A" w:rsidP="008C000A">
      <w:pPr>
        <w:rPr>
          <w:sz w:val="36"/>
          <w:szCs w:val="36"/>
        </w:rPr>
      </w:pPr>
    </w:p>
    <w:p w:rsidR="008C000A" w:rsidRPr="008C000A" w:rsidRDefault="008C000A" w:rsidP="008C000A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Pr="008C000A">
        <w:rPr>
          <w:sz w:val="36"/>
          <w:szCs w:val="36"/>
        </w:rPr>
        <w:t>Estabilidad macroeconómica, mejores tasas de financiación, estabilidad cambiaria, mayor oferta de productos y una incipiente recuperación del poder de compra de los salarios, contribuyen claramente a generar un círculo virtuoso donde ganan todos. A saber: consumidores, comercio automotor, industria e importadores y estado nacional</w:t>
      </w:r>
      <w:r w:rsidR="000001C0">
        <w:rPr>
          <w:sz w:val="36"/>
          <w:szCs w:val="36"/>
        </w:rPr>
        <w:t>”, dijo Lamas</w:t>
      </w:r>
      <w:r w:rsidRPr="008C000A">
        <w:rPr>
          <w:sz w:val="36"/>
          <w:szCs w:val="36"/>
        </w:rPr>
        <w:t>.</w:t>
      </w:r>
    </w:p>
    <w:p w:rsidR="008C000A" w:rsidRDefault="008C000A" w:rsidP="008C000A">
      <w:pPr>
        <w:rPr>
          <w:sz w:val="36"/>
          <w:szCs w:val="36"/>
        </w:rPr>
      </w:pPr>
    </w:p>
    <w:p w:rsidR="008C000A" w:rsidRDefault="008C000A" w:rsidP="008C000A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Pr="008C000A">
        <w:rPr>
          <w:sz w:val="36"/>
          <w:szCs w:val="36"/>
        </w:rPr>
        <w:t xml:space="preserve">Con respecto al interior del país, las provincias que más crecieron con respecto a septiembre fueron Catamarca, Salta y </w:t>
      </w:r>
    </w:p>
    <w:p w:rsidR="008C000A" w:rsidRDefault="008C000A" w:rsidP="008C000A">
      <w:pPr>
        <w:rPr>
          <w:sz w:val="36"/>
          <w:szCs w:val="36"/>
        </w:rPr>
      </w:pPr>
    </w:p>
    <w:p w:rsidR="008C000A" w:rsidRDefault="008C000A" w:rsidP="008C000A">
      <w:pPr>
        <w:rPr>
          <w:sz w:val="36"/>
          <w:szCs w:val="36"/>
        </w:rPr>
      </w:pPr>
    </w:p>
    <w:p w:rsidR="00C53B09" w:rsidRDefault="008C000A" w:rsidP="008C000A">
      <w:pPr>
        <w:rPr>
          <w:sz w:val="36"/>
          <w:szCs w:val="36"/>
        </w:rPr>
      </w:pPr>
      <w:r w:rsidRPr="008C000A">
        <w:rPr>
          <w:sz w:val="36"/>
          <w:szCs w:val="36"/>
        </w:rPr>
        <w:t>San Juan. Y en los primeros 10 meses fueron Santa Cruz, Neuquén, Mendoza y Santa Fe</w:t>
      </w:r>
      <w:r>
        <w:rPr>
          <w:sz w:val="36"/>
          <w:szCs w:val="36"/>
        </w:rPr>
        <w:t>”, finalizó</w:t>
      </w:r>
      <w:r w:rsidRPr="008C000A">
        <w:rPr>
          <w:sz w:val="36"/>
          <w:szCs w:val="36"/>
        </w:rPr>
        <w:t>.</w:t>
      </w:r>
    </w:p>
    <w:p w:rsidR="00C53B09" w:rsidRDefault="00C53B09" w:rsidP="003761FD">
      <w:pPr>
        <w:rPr>
          <w:sz w:val="36"/>
          <w:szCs w:val="36"/>
        </w:rPr>
      </w:pPr>
    </w:p>
    <w:p w:rsidR="004651FF" w:rsidRDefault="004651FF">
      <w:pPr>
        <w:rPr>
          <w:b/>
          <w:bCs/>
          <w:sz w:val="40"/>
          <w:szCs w:val="40"/>
          <w:u w:val="single"/>
        </w:rPr>
      </w:pPr>
    </w:p>
    <w:p w:rsidR="008C000A" w:rsidRDefault="008C000A">
      <w:pPr>
        <w:rPr>
          <w:b/>
          <w:bCs/>
          <w:sz w:val="40"/>
          <w:szCs w:val="40"/>
          <w:u w:val="single"/>
        </w:rPr>
      </w:pPr>
    </w:p>
    <w:p w:rsidR="00F541BF" w:rsidRDefault="00936A97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RANKING 10 AU</w:t>
      </w:r>
      <w:r w:rsidR="00E355E0">
        <w:rPr>
          <w:b/>
          <w:bCs/>
          <w:sz w:val="40"/>
          <w:szCs w:val="40"/>
          <w:u w:val="single"/>
        </w:rPr>
        <w:t>T</w:t>
      </w:r>
      <w:r w:rsidR="00C53B09">
        <w:rPr>
          <w:b/>
          <w:bCs/>
          <w:sz w:val="40"/>
          <w:szCs w:val="40"/>
          <w:u w:val="single"/>
        </w:rPr>
        <w:t>OS U</w:t>
      </w:r>
      <w:r w:rsidR="000A52FC">
        <w:rPr>
          <w:b/>
          <w:bCs/>
          <w:sz w:val="40"/>
          <w:szCs w:val="40"/>
          <w:u w:val="single"/>
        </w:rPr>
        <w:t>SADOS MÁS VENDIDOS EN OCTUBRE</w:t>
      </w:r>
    </w:p>
    <w:p w:rsidR="00F541BF" w:rsidRDefault="00F541BF">
      <w:pPr>
        <w:rPr>
          <w:b/>
          <w:bCs/>
          <w:sz w:val="40"/>
          <w:szCs w:val="40"/>
          <w:lang w:val="es-AR"/>
        </w:rPr>
      </w:pPr>
    </w:p>
    <w:p w:rsidR="000001C0" w:rsidRDefault="00E355E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VW Gol y </w:t>
      </w:r>
      <w:proofErr w:type="spellStart"/>
      <w:r>
        <w:rPr>
          <w:sz w:val="40"/>
          <w:szCs w:val="40"/>
          <w:lang w:val="es-AR"/>
        </w:rPr>
        <w:t>Trend</w:t>
      </w:r>
      <w:proofErr w:type="spellEnd"/>
      <w:r>
        <w:rPr>
          <w:sz w:val="40"/>
          <w:szCs w:val="40"/>
          <w:lang w:val="es-AR"/>
        </w:rPr>
        <w:t xml:space="preserve">: </w:t>
      </w:r>
      <w:r w:rsidR="000001C0">
        <w:rPr>
          <w:sz w:val="40"/>
          <w:szCs w:val="40"/>
          <w:lang w:val="es-AR"/>
        </w:rPr>
        <w:t>11.132</w:t>
      </w:r>
    </w:p>
    <w:p w:rsidR="00F541BF" w:rsidRDefault="000001C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Toyota </w:t>
      </w:r>
      <w:proofErr w:type="spellStart"/>
      <w:r>
        <w:rPr>
          <w:sz w:val="40"/>
          <w:szCs w:val="40"/>
          <w:lang w:val="es-AR"/>
        </w:rPr>
        <w:t>Hilux</w:t>
      </w:r>
      <w:proofErr w:type="spellEnd"/>
      <w:r>
        <w:rPr>
          <w:sz w:val="40"/>
          <w:szCs w:val="40"/>
          <w:lang w:val="es-AR"/>
        </w:rPr>
        <w:t>: 7.691</w:t>
      </w:r>
    </w:p>
    <w:p w:rsidR="00F541BF" w:rsidRDefault="000001C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Chevrolet Corsa y </w:t>
      </w:r>
      <w:proofErr w:type="spellStart"/>
      <w:r>
        <w:rPr>
          <w:sz w:val="40"/>
          <w:szCs w:val="40"/>
          <w:lang w:val="es-AR"/>
        </w:rPr>
        <w:t>Classic</w:t>
      </w:r>
      <w:proofErr w:type="spellEnd"/>
      <w:r>
        <w:rPr>
          <w:sz w:val="40"/>
          <w:szCs w:val="40"/>
          <w:lang w:val="es-AR"/>
        </w:rPr>
        <w:t>: 6.055</w:t>
      </w:r>
    </w:p>
    <w:p w:rsidR="00C22020" w:rsidRDefault="000001C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VW </w:t>
      </w:r>
      <w:proofErr w:type="spellStart"/>
      <w:r>
        <w:rPr>
          <w:sz w:val="40"/>
          <w:szCs w:val="40"/>
          <w:lang w:val="es-AR"/>
        </w:rPr>
        <w:t>Amarok</w:t>
      </w:r>
      <w:proofErr w:type="spellEnd"/>
      <w:r>
        <w:rPr>
          <w:sz w:val="40"/>
          <w:szCs w:val="40"/>
          <w:lang w:val="es-AR"/>
        </w:rPr>
        <w:t>: 5.470</w:t>
      </w:r>
    </w:p>
    <w:p w:rsidR="00E355E0" w:rsidRDefault="000001C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Ford </w:t>
      </w:r>
      <w:proofErr w:type="spellStart"/>
      <w:r>
        <w:rPr>
          <w:sz w:val="40"/>
          <w:szCs w:val="40"/>
          <w:lang w:val="es-AR"/>
        </w:rPr>
        <w:t>Ranger</w:t>
      </w:r>
      <w:proofErr w:type="spellEnd"/>
      <w:r>
        <w:rPr>
          <w:sz w:val="40"/>
          <w:szCs w:val="40"/>
          <w:lang w:val="es-AR"/>
        </w:rPr>
        <w:t>: 5.259</w:t>
      </w:r>
    </w:p>
    <w:p w:rsidR="00F541BF" w:rsidRDefault="000001C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Toyota </w:t>
      </w:r>
      <w:proofErr w:type="spellStart"/>
      <w:r>
        <w:rPr>
          <w:sz w:val="40"/>
          <w:szCs w:val="40"/>
          <w:lang w:val="es-AR"/>
        </w:rPr>
        <w:t>Corolla</w:t>
      </w:r>
      <w:proofErr w:type="spellEnd"/>
      <w:r>
        <w:rPr>
          <w:sz w:val="40"/>
          <w:szCs w:val="40"/>
          <w:lang w:val="es-AR"/>
        </w:rPr>
        <w:t>: 4.723</w:t>
      </w:r>
    </w:p>
    <w:p w:rsidR="00F541BF" w:rsidRDefault="00AA0DAB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Renault </w:t>
      </w:r>
      <w:proofErr w:type="spellStart"/>
      <w:r>
        <w:rPr>
          <w:sz w:val="40"/>
          <w:szCs w:val="40"/>
          <w:lang w:val="es-AR"/>
        </w:rPr>
        <w:t>Clio</w:t>
      </w:r>
      <w:proofErr w:type="spellEnd"/>
      <w:r w:rsidR="000001C0">
        <w:rPr>
          <w:sz w:val="40"/>
          <w:szCs w:val="40"/>
          <w:lang w:val="es-AR"/>
        </w:rPr>
        <w:t>: 4.274</w:t>
      </w:r>
    </w:p>
    <w:p w:rsidR="00F541BF" w:rsidRDefault="000001C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Ford </w:t>
      </w:r>
      <w:proofErr w:type="spellStart"/>
      <w:r>
        <w:rPr>
          <w:sz w:val="40"/>
          <w:szCs w:val="40"/>
          <w:lang w:val="es-AR"/>
        </w:rPr>
        <w:t>EcoSport</w:t>
      </w:r>
      <w:proofErr w:type="spellEnd"/>
      <w:r>
        <w:rPr>
          <w:sz w:val="40"/>
          <w:szCs w:val="40"/>
          <w:lang w:val="es-AR"/>
        </w:rPr>
        <w:t>: 4.185</w:t>
      </w:r>
    </w:p>
    <w:p w:rsidR="00C22020" w:rsidRDefault="000001C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Ford Fiesta: 4.093</w:t>
      </w:r>
    </w:p>
    <w:p w:rsidR="00C22020" w:rsidRPr="000001C0" w:rsidRDefault="000001C0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Peugeot 208: 4.090</w:t>
      </w:r>
    </w:p>
    <w:p w:rsidR="00FB7BD6" w:rsidRDefault="00FB7BD6">
      <w:pPr>
        <w:rPr>
          <w:b/>
          <w:bCs/>
          <w:sz w:val="40"/>
          <w:szCs w:val="40"/>
          <w:u w:val="single"/>
          <w:lang w:val="es-AR"/>
        </w:rPr>
      </w:pPr>
    </w:p>
    <w:p w:rsidR="004046D1" w:rsidRDefault="004046D1">
      <w:pPr>
        <w:rPr>
          <w:b/>
          <w:bCs/>
          <w:sz w:val="40"/>
          <w:szCs w:val="40"/>
          <w:u w:val="single"/>
          <w:lang w:val="es-AR"/>
        </w:rPr>
      </w:pPr>
    </w:p>
    <w:p w:rsidR="008C000A" w:rsidRDefault="008C000A">
      <w:pPr>
        <w:rPr>
          <w:b/>
          <w:bCs/>
          <w:sz w:val="40"/>
          <w:szCs w:val="40"/>
          <w:u w:val="single"/>
          <w:lang w:val="es-AR"/>
        </w:rPr>
      </w:pPr>
    </w:p>
    <w:p w:rsidR="008C000A" w:rsidRDefault="008C000A">
      <w:pPr>
        <w:rPr>
          <w:b/>
          <w:bCs/>
          <w:sz w:val="40"/>
          <w:szCs w:val="40"/>
          <w:u w:val="single"/>
          <w:lang w:val="es-AR"/>
        </w:rPr>
      </w:pPr>
    </w:p>
    <w:p w:rsidR="000001C0" w:rsidRDefault="000001C0">
      <w:pPr>
        <w:rPr>
          <w:b/>
          <w:bCs/>
          <w:sz w:val="40"/>
          <w:szCs w:val="40"/>
          <w:u w:val="single"/>
          <w:lang w:val="es-AR"/>
        </w:rPr>
      </w:pPr>
    </w:p>
    <w:p w:rsidR="004046D1" w:rsidRDefault="004046D1">
      <w:pPr>
        <w:rPr>
          <w:b/>
          <w:bCs/>
          <w:sz w:val="40"/>
          <w:szCs w:val="40"/>
          <w:u w:val="single"/>
          <w:lang w:val="es-AR"/>
        </w:rPr>
      </w:pPr>
      <w:r>
        <w:rPr>
          <w:b/>
          <w:bCs/>
          <w:sz w:val="40"/>
          <w:szCs w:val="40"/>
          <w:u w:val="single"/>
          <w:lang w:val="es-AR"/>
        </w:rPr>
        <w:t>CIFRAS SEPTIEMBRE-OCTUBRE 2024 PROVINCIA POR PROVINCIA</w:t>
      </w:r>
    </w:p>
    <w:p w:rsidR="004046D1" w:rsidRDefault="004046D1">
      <w:pPr>
        <w:rPr>
          <w:b/>
          <w:bCs/>
          <w:sz w:val="40"/>
          <w:szCs w:val="40"/>
          <w:u w:val="single"/>
          <w:lang w:val="es-AR"/>
        </w:rPr>
      </w:pPr>
    </w:p>
    <w:p w:rsidR="004046D1" w:rsidRPr="00934288" w:rsidRDefault="004046D1">
      <w:pPr>
        <w:rPr>
          <w:bCs/>
          <w:sz w:val="40"/>
          <w:szCs w:val="40"/>
          <w:lang w:val="es-AR"/>
        </w:rPr>
      </w:pPr>
      <w:proofErr w:type="spellStart"/>
      <w:r w:rsidRPr="00934288">
        <w:rPr>
          <w:bCs/>
          <w:sz w:val="40"/>
          <w:szCs w:val="40"/>
          <w:lang w:val="es-AR"/>
        </w:rPr>
        <w:t>Pcia</w:t>
      </w:r>
      <w:proofErr w:type="spellEnd"/>
      <w:r w:rsidRPr="00934288">
        <w:rPr>
          <w:bCs/>
          <w:sz w:val="40"/>
          <w:szCs w:val="40"/>
          <w:lang w:val="es-AR"/>
        </w:rPr>
        <w:t xml:space="preserve">. Bs. As.: </w:t>
      </w:r>
      <w:r w:rsidR="00934288" w:rsidRPr="00934288">
        <w:rPr>
          <w:bCs/>
          <w:sz w:val="40"/>
          <w:szCs w:val="40"/>
          <w:lang w:val="es-AR"/>
        </w:rPr>
        <w:t>7,</w:t>
      </w:r>
      <w:r w:rsidRPr="00934288">
        <w:rPr>
          <w:bCs/>
          <w:sz w:val="40"/>
          <w:szCs w:val="40"/>
          <w:lang w:val="es-AR"/>
        </w:rPr>
        <w:t>95%</w:t>
      </w:r>
    </w:p>
    <w:p w:rsidR="004046D1" w:rsidRPr="00934288" w:rsidRDefault="004046D1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CABA: 9,37%</w:t>
      </w:r>
    </w:p>
    <w:p w:rsidR="004046D1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Catamarca: 18,40%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Chaco: -6,58%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Chubut: 0,67%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Córdoba: 6,88%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Corrientes: 5,52%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Entre Ríos: 0,93%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Formosa: 4,65%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Jujuy: -2,50%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La Pampa: -1,34%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La Rioja: -3,06%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Mendoza: 1,81%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Misiones: 5,57%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Neuquén: -2,93%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Río Negro: 7,27%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Salta: 13,63%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San Juan: 10,65%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San Luis: -1,56%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Santa Cruz: 7,74%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Santa F</w:t>
      </w:r>
      <w:r>
        <w:rPr>
          <w:bCs/>
          <w:sz w:val="40"/>
          <w:szCs w:val="40"/>
          <w:lang w:val="es-AR"/>
        </w:rPr>
        <w:t>e</w:t>
      </w:r>
      <w:r w:rsidRPr="00934288">
        <w:rPr>
          <w:bCs/>
          <w:sz w:val="40"/>
          <w:szCs w:val="40"/>
          <w:lang w:val="es-AR"/>
        </w:rPr>
        <w:t>: -0,03%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Santiago del Estero: -7,19%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Tierra del Fuego: 12,24%</w:t>
      </w:r>
    </w:p>
    <w:p w:rsidR="00934288" w:rsidRPr="00934288" w:rsidRDefault="00934288">
      <w:pPr>
        <w:rPr>
          <w:bCs/>
          <w:sz w:val="40"/>
          <w:szCs w:val="40"/>
          <w:lang w:val="es-AR"/>
        </w:rPr>
      </w:pPr>
      <w:r w:rsidRPr="00934288">
        <w:rPr>
          <w:bCs/>
          <w:sz w:val="40"/>
          <w:szCs w:val="40"/>
          <w:lang w:val="es-AR"/>
        </w:rPr>
        <w:t>Tucumán: 14,81%</w:t>
      </w:r>
    </w:p>
    <w:p w:rsidR="00934288" w:rsidRDefault="00934288">
      <w:pPr>
        <w:rPr>
          <w:b/>
          <w:bCs/>
          <w:sz w:val="40"/>
          <w:szCs w:val="40"/>
          <w:lang w:val="es-AR"/>
        </w:rPr>
      </w:pPr>
    </w:p>
    <w:p w:rsidR="00F541BF" w:rsidRDefault="00B26C07">
      <w:pPr>
        <w:rPr>
          <w:b/>
          <w:bCs/>
          <w:sz w:val="40"/>
          <w:szCs w:val="40"/>
          <w:u w:val="single"/>
          <w:lang w:val="es-AR"/>
        </w:rPr>
      </w:pPr>
      <w:r>
        <w:rPr>
          <w:b/>
          <w:bCs/>
          <w:sz w:val="40"/>
          <w:szCs w:val="40"/>
          <w:u w:val="single"/>
          <w:lang w:val="es-AR"/>
        </w:rPr>
        <w:t xml:space="preserve">PROVINCIAS QUE CRECIERON EN PERÍODO </w:t>
      </w:r>
      <w:r w:rsidR="00934288">
        <w:rPr>
          <w:b/>
          <w:bCs/>
          <w:sz w:val="40"/>
          <w:szCs w:val="40"/>
          <w:u w:val="single"/>
          <w:lang w:val="es-AR"/>
        </w:rPr>
        <w:t>ENERO-OCTUBRE</w:t>
      </w:r>
      <w:r w:rsidR="00FB7BD6">
        <w:rPr>
          <w:b/>
          <w:bCs/>
          <w:sz w:val="40"/>
          <w:szCs w:val="40"/>
          <w:u w:val="single"/>
          <w:lang w:val="es-AR"/>
        </w:rPr>
        <w:t xml:space="preserve"> </w:t>
      </w:r>
      <w:r>
        <w:rPr>
          <w:b/>
          <w:bCs/>
          <w:sz w:val="40"/>
          <w:szCs w:val="40"/>
          <w:u w:val="single"/>
          <w:lang w:val="es-AR"/>
        </w:rPr>
        <w:t>2024</w:t>
      </w:r>
      <w:r w:rsidR="007A385E">
        <w:rPr>
          <w:b/>
          <w:bCs/>
          <w:sz w:val="40"/>
          <w:szCs w:val="40"/>
          <w:u w:val="single"/>
          <w:lang w:val="es-AR"/>
        </w:rPr>
        <w:t xml:space="preserve"> COMPARADO CON IGUAL PERÍODO 2023</w:t>
      </w:r>
    </w:p>
    <w:p w:rsidR="00934288" w:rsidRDefault="00934288">
      <w:pPr>
        <w:rPr>
          <w:b/>
          <w:bCs/>
          <w:sz w:val="40"/>
          <w:szCs w:val="40"/>
          <w:u w:val="single"/>
          <w:lang w:val="es-AR"/>
        </w:rPr>
      </w:pP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Santa Cruz: 7,01%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Neuquén: 5,70%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Mendoza: 5,58%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Santa Fe: 5,27%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La Pampa: 4,39%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Córdoba: 4,27%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Chaco: 3,96%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Tierra del Fuego: 3,75%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San Juan: 2,66%</w:t>
      </w:r>
    </w:p>
    <w:p w:rsidR="00934288" w:rsidRPr="000A52FC" w:rsidRDefault="00934288">
      <w:pPr>
        <w:rPr>
          <w:bCs/>
          <w:sz w:val="40"/>
          <w:szCs w:val="40"/>
          <w:lang w:val="es-AR"/>
        </w:rPr>
      </w:pPr>
      <w:proofErr w:type="spellStart"/>
      <w:r w:rsidRPr="000A52FC">
        <w:rPr>
          <w:bCs/>
          <w:sz w:val="40"/>
          <w:szCs w:val="40"/>
          <w:lang w:val="es-AR"/>
        </w:rPr>
        <w:t>Pcia</w:t>
      </w:r>
      <w:proofErr w:type="spellEnd"/>
      <w:r w:rsidRPr="000A52FC">
        <w:rPr>
          <w:bCs/>
          <w:sz w:val="40"/>
          <w:szCs w:val="40"/>
          <w:lang w:val="es-AR"/>
        </w:rPr>
        <w:t xml:space="preserve">. Bs.As.: </w:t>
      </w:r>
      <w:r w:rsidR="00986ADE" w:rsidRPr="000A52FC">
        <w:rPr>
          <w:bCs/>
          <w:sz w:val="40"/>
          <w:szCs w:val="40"/>
          <w:lang w:val="es-AR"/>
        </w:rPr>
        <w:t>2,61%</w:t>
      </w:r>
    </w:p>
    <w:p w:rsidR="00986ADE" w:rsidRPr="000A52FC" w:rsidRDefault="00986ADE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Chubut: 2,08%</w:t>
      </w:r>
    </w:p>
    <w:p w:rsidR="00986ADE" w:rsidRPr="000A52FC" w:rsidRDefault="00986ADE">
      <w:pPr>
        <w:rPr>
          <w:bCs/>
          <w:sz w:val="40"/>
          <w:szCs w:val="40"/>
          <w:lang w:val="es-AR"/>
        </w:rPr>
      </w:pPr>
    </w:p>
    <w:p w:rsidR="00986ADE" w:rsidRPr="000A52FC" w:rsidRDefault="00986ADE">
      <w:pPr>
        <w:rPr>
          <w:bCs/>
          <w:sz w:val="40"/>
          <w:szCs w:val="40"/>
          <w:lang w:val="es-AR"/>
        </w:rPr>
      </w:pPr>
    </w:p>
    <w:p w:rsidR="00986ADE" w:rsidRPr="000A52FC" w:rsidRDefault="00986ADE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Entre Ríos: 1,86%</w:t>
      </w:r>
    </w:p>
    <w:p w:rsidR="00986ADE" w:rsidRPr="000A52FC" w:rsidRDefault="00986ADE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San Luis: 1,71%</w:t>
      </w:r>
    </w:p>
    <w:p w:rsidR="00986ADE" w:rsidRPr="000A52FC" w:rsidRDefault="00986ADE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Catamarca: 1,55%</w:t>
      </w:r>
    </w:p>
    <w:p w:rsidR="00986ADE" w:rsidRPr="000A52FC" w:rsidRDefault="00986ADE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CABA: 1,50%</w:t>
      </w:r>
    </w:p>
    <w:p w:rsidR="00986ADE" w:rsidRPr="000A52FC" w:rsidRDefault="00986ADE">
      <w:pPr>
        <w:rPr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Río Negro: 0,86%</w:t>
      </w:r>
    </w:p>
    <w:p w:rsidR="00986ADE" w:rsidRDefault="00986ADE">
      <w:pPr>
        <w:rPr>
          <w:b/>
          <w:bCs/>
          <w:sz w:val="40"/>
          <w:szCs w:val="40"/>
          <w:lang w:val="es-AR"/>
        </w:rPr>
      </w:pPr>
      <w:r w:rsidRPr="000A52FC">
        <w:rPr>
          <w:bCs/>
          <w:sz w:val="40"/>
          <w:szCs w:val="40"/>
          <w:lang w:val="es-AR"/>
        </w:rPr>
        <w:t>Corrientes: 0,71%</w:t>
      </w:r>
    </w:p>
    <w:p w:rsidR="00934288" w:rsidRDefault="00934288">
      <w:pPr>
        <w:rPr>
          <w:b/>
          <w:bCs/>
          <w:sz w:val="40"/>
          <w:szCs w:val="40"/>
          <w:lang w:val="es-AR"/>
        </w:rPr>
      </w:pPr>
    </w:p>
    <w:p w:rsidR="00B26C07" w:rsidRPr="00B26C07" w:rsidRDefault="00B26C07">
      <w:pPr>
        <w:rPr>
          <w:b/>
          <w:bCs/>
          <w:sz w:val="40"/>
          <w:szCs w:val="40"/>
          <w:u w:val="single"/>
        </w:rPr>
      </w:pPr>
      <w:r w:rsidRPr="00B26C07">
        <w:rPr>
          <w:b/>
          <w:bCs/>
          <w:sz w:val="40"/>
          <w:szCs w:val="40"/>
          <w:u w:val="single"/>
        </w:rPr>
        <w:t xml:space="preserve">PROVINCIAS QUE BAJARON </w:t>
      </w:r>
      <w:r>
        <w:rPr>
          <w:b/>
          <w:bCs/>
          <w:sz w:val="40"/>
          <w:szCs w:val="40"/>
          <w:u w:val="single"/>
        </w:rPr>
        <w:t xml:space="preserve">EN </w:t>
      </w:r>
      <w:r w:rsidR="007A385E">
        <w:rPr>
          <w:b/>
          <w:bCs/>
          <w:sz w:val="40"/>
          <w:szCs w:val="40"/>
          <w:u w:val="single"/>
        </w:rPr>
        <w:t xml:space="preserve">PERÍODO </w:t>
      </w:r>
      <w:r>
        <w:rPr>
          <w:b/>
          <w:bCs/>
          <w:sz w:val="40"/>
          <w:szCs w:val="40"/>
          <w:u w:val="single"/>
        </w:rPr>
        <w:t>ENERO-</w:t>
      </w:r>
      <w:r w:rsidR="00986ADE">
        <w:rPr>
          <w:b/>
          <w:bCs/>
          <w:sz w:val="40"/>
          <w:szCs w:val="40"/>
          <w:u w:val="single"/>
        </w:rPr>
        <w:t>OCTUBRE</w:t>
      </w:r>
      <w:r>
        <w:rPr>
          <w:b/>
          <w:bCs/>
          <w:sz w:val="40"/>
          <w:szCs w:val="40"/>
          <w:u w:val="single"/>
        </w:rPr>
        <w:t xml:space="preserve"> 2024</w:t>
      </w:r>
      <w:r w:rsidR="007A385E">
        <w:rPr>
          <w:b/>
          <w:bCs/>
          <w:sz w:val="40"/>
          <w:szCs w:val="40"/>
          <w:u w:val="single"/>
        </w:rPr>
        <w:t xml:space="preserve"> COMPARADO CON IGUAL PERÍODO 2023</w:t>
      </w:r>
    </w:p>
    <w:p w:rsidR="00DC677C" w:rsidRDefault="00DC677C">
      <w:pPr>
        <w:rPr>
          <w:bCs/>
          <w:sz w:val="40"/>
          <w:szCs w:val="40"/>
        </w:rPr>
      </w:pPr>
    </w:p>
    <w:p w:rsidR="00DC677C" w:rsidRDefault="00986AD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Formosa: -16,22%</w:t>
      </w:r>
    </w:p>
    <w:p w:rsidR="00986ADE" w:rsidRDefault="00986AD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Misiones: </w:t>
      </w:r>
      <w:r w:rsidR="000001C0">
        <w:rPr>
          <w:bCs/>
          <w:sz w:val="40"/>
          <w:szCs w:val="40"/>
        </w:rPr>
        <w:t>-</w:t>
      </w:r>
      <w:r>
        <w:rPr>
          <w:bCs/>
          <w:sz w:val="40"/>
          <w:szCs w:val="40"/>
        </w:rPr>
        <w:t>10,62%</w:t>
      </w:r>
    </w:p>
    <w:p w:rsidR="00986ADE" w:rsidRDefault="00986AD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Jujuy:</w:t>
      </w:r>
      <w:r w:rsidR="000001C0">
        <w:rPr>
          <w:bCs/>
          <w:sz w:val="40"/>
          <w:szCs w:val="40"/>
        </w:rPr>
        <w:t>-</w:t>
      </w:r>
      <w:r>
        <w:rPr>
          <w:bCs/>
          <w:sz w:val="40"/>
          <w:szCs w:val="40"/>
        </w:rPr>
        <w:t xml:space="preserve"> 8,43%</w:t>
      </w:r>
    </w:p>
    <w:p w:rsidR="00986ADE" w:rsidRDefault="00986AD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La Rioja: </w:t>
      </w:r>
      <w:r w:rsidR="000001C0">
        <w:rPr>
          <w:bCs/>
          <w:sz w:val="40"/>
          <w:szCs w:val="40"/>
        </w:rPr>
        <w:t>-</w:t>
      </w:r>
      <w:r>
        <w:rPr>
          <w:bCs/>
          <w:sz w:val="40"/>
          <w:szCs w:val="40"/>
        </w:rPr>
        <w:t>8,03%</w:t>
      </w:r>
    </w:p>
    <w:p w:rsidR="00986ADE" w:rsidRDefault="00986AD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Santiago del Estero:</w:t>
      </w:r>
      <w:r w:rsidR="000001C0">
        <w:rPr>
          <w:bCs/>
          <w:sz w:val="40"/>
          <w:szCs w:val="40"/>
        </w:rPr>
        <w:t>-</w:t>
      </w:r>
      <w:r>
        <w:rPr>
          <w:bCs/>
          <w:sz w:val="40"/>
          <w:szCs w:val="40"/>
        </w:rPr>
        <w:t xml:space="preserve"> 7,18%</w:t>
      </w:r>
    </w:p>
    <w:p w:rsidR="00986ADE" w:rsidRDefault="00986AD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Salta: -5,55%</w:t>
      </w:r>
    </w:p>
    <w:p w:rsidR="00986ADE" w:rsidRDefault="00986AD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Tucumán: -4,11%</w:t>
      </w:r>
    </w:p>
    <w:p w:rsidR="00986ADE" w:rsidRDefault="00986ADE">
      <w:pPr>
        <w:rPr>
          <w:bCs/>
          <w:sz w:val="40"/>
          <w:szCs w:val="40"/>
        </w:rPr>
      </w:pPr>
    </w:p>
    <w:p w:rsidR="001B2998" w:rsidRDefault="001B2998">
      <w:pPr>
        <w:rPr>
          <w:bCs/>
          <w:sz w:val="40"/>
          <w:szCs w:val="40"/>
        </w:rPr>
      </w:pPr>
    </w:p>
    <w:p w:rsidR="00DC677C" w:rsidRDefault="000A52FC">
      <w:pPr>
        <w:rPr>
          <w:bCs/>
          <w:sz w:val="40"/>
          <w:szCs w:val="40"/>
        </w:rPr>
      </w:pPr>
      <w:bookmarkStart w:id="0" w:name="_GoBack"/>
      <w:bookmarkEnd w:id="0"/>
      <w:r>
        <w:rPr>
          <w:bCs/>
          <w:sz w:val="40"/>
          <w:szCs w:val="40"/>
        </w:rPr>
        <w:t>Buenos Aires, noviembre</w:t>
      </w:r>
      <w:r w:rsidR="00DA0117">
        <w:rPr>
          <w:bCs/>
          <w:sz w:val="40"/>
          <w:szCs w:val="40"/>
        </w:rPr>
        <w:t xml:space="preserve"> </w:t>
      </w:r>
      <w:r w:rsidR="00DC677C">
        <w:rPr>
          <w:bCs/>
          <w:sz w:val="40"/>
          <w:szCs w:val="40"/>
        </w:rPr>
        <w:t>2024</w:t>
      </w: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430029" w:rsidRDefault="00430029">
      <w:pPr>
        <w:rPr>
          <w:bCs/>
          <w:sz w:val="40"/>
          <w:szCs w:val="40"/>
        </w:rPr>
      </w:pPr>
    </w:p>
    <w:p w:rsidR="00430029" w:rsidRDefault="00430029">
      <w:pPr>
        <w:rPr>
          <w:bCs/>
          <w:sz w:val="40"/>
          <w:szCs w:val="40"/>
        </w:rPr>
      </w:pPr>
    </w:p>
    <w:p w:rsidR="00F541BF" w:rsidRDefault="00F541BF">
      <w:pPr>
        <w:rPr>
          <w:b/>
          <w:bCs/>
          <w:sz w:val="40"/>
          <w:szCs w:val="40"/>
        </w:rPr>
      </w:pPr>
    </w:p>
    <w:sectPr w:rsidR="00F541BF">
      <w:headerReference w:type="default" r:id="rId7"/>
      <w:footerReference w:type="default" r:id="rId8"/>
      <w:pgSz w:w="12240" w:h="15840"/>
      <w:pgMar w:top="777" w:right="1418" w:bottom="1559" w:left="1418" w:header="720" w:footer="129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AF" w:rsidRDefault="00107DAF">
      <w:r>
        <w:separator/>
      </w:r>
    </w:p>
  </w:endnote>
  <w:endnote w:type="continuationSeparator" w:id="0">
    <w:p w:rsidR="00107DAF" w:rsidRDefault="0010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BF" w:rsidRDefault="00936A97">
    <w:pPr>
      <w:spacing w:before="120"/>
      <w:jc w:val="center"/>
      <w:rPr>
        <w:sz w:val="20"/>
      </w:rPr>
    </w:pPr>
    <w:r>
      <w:rPr>
        <w:sz w:val="20"/>
      </w:rPr>
      <w:t>SOLER 3909 - (1425)  BUENOS AIRES   TEL. 4824-7272/9505/9498/9489   FAX. 4822-7453  4823-1837</w:t>
    </w:r>
  </w:p>
  <w:p w:rsidR="00F541BF" w:rsidRDefault="00936A97">
    <w:pPr>
      <w:pStyle w:val="Piedepgina1"/>
    </w:pPr>
    <w:r>
      <w:tab/>
      <w:t>http://www.cca.org.ar---- e-mail: cca@cca.org.ar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AF" w:rsidRDefault="00107DAF">
      <w:r>
        <w:separator/>
      </w:r>
    </w:p>
  </w:footnote>
  <w:footnote w:type="continuationSeparator" w:id="0">
    <w:p w:rsidR="00107DAF" w:rsidRDefault="0010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BF" w:rsidRDefault="00936A97">
    <w:pPr>
      <w:pStyle w:val="Epgrafe"/>
      <w:rPr>
        <w:lang w:val="es-AR" w:eastAsia="es-AR"/>
      </w:rPr>
    </w:pPr>
    <w:r>
      <w:rPr>
        <w:noProof/>
        <w:lang w:val="es-AR" w:eastAsia="es-AR"/>
      </w:rPr>
      <w:drawing>
        <wp:anchor distT="0" distB="0" distL="114935" distR="114935" simplePos="0" relativeHeight="8" behindDoc="1" locked="0" layoutInCell="0" allowOverlap="1">
          <wp:simplePos x="0" y="0"/>
          <wp:positionH relativeFrom="column">
            <wp:posOffset>2303780</wp:posOffset>
          </wp:positionH>
          <wp:positionV relativeFrom="paragraph">
            <wp:posOffset>7620</wp:posOffset>
          </wp:positionV>
          <wp:extent cx="1120140" cy="1150620"/>
          <wp:effectExtent l="0" t="0" r="0" b="0"/>
          <wp:wrapTopAndBottom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" t="-75" r="-7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936A97">
    <w:pPr>
      <w:pStyle w:val="Epgrafe"/>
    </w:pPr>
    <w:r>
      <w:t>CAMARA DEL COMERCIO AUTOMOTOR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BF"/>
    <w:rsid w:val="000001C0"/>
    <w:rsid w:val="000A52FC"/>
    <w:rsid w:val="00107DAF"/>
    <w:rsid w:val="00143932"/>
    <w:rsid w:val="001B2998"/>
    <w:rsid w:val="001E53DF"/>
    <w:rsid w:val="003761FD"/>
    <w:rsid w:val="003E078A"/>
    <w:rsid w:val="004046D1"/>
    <w:rsid w:val="00430029"/>
    <w:rsid w:val="004651FF"/>
    <w:rsid w:val="004B25BB"/>
    <w:rsid w:val="00520D84"/>
    <w:rsid w:val="00555478"/>
    <w:rsid w:val="007A385E"/>
    <w:rsid w:val="007D144F"/>
    <w:rsid w:val="00843D85"/>
    <w:rsid w:val="00851E5B"/>
    <w:rsid w:val="00866536"/>
    <w:rsid w:val="008C000A"/>
    <w:rsid w:val="00926CDB"/>
    <w:rsid w:val="00934288"/>
    <w:rsid w:val="00936A97"/>
    <w:rsid w:val="00986ADE"/>
    <w:rsid w:val="00AA0DAB"/>
    <w:rsid w:val="00B26C07"/>
    <w:rsid w:val="00C20022"/>
    <w:rsid w:val="00C22020"/>
    <w:rsid w:val="00C53B09"/>
    <w:rsid w:val="00DA0117"/>
    <w:rsid w:val="00DC677C"/>
    <w:rsid w:val="00E355E0"/>
    <w:rsid w:val="00F541BF"/>
    <w:rsid w:val="00F60798"/>
    <w:rsid w:val="00F8161E"/>
    <w:rsid w:val="00FB7BD6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Roberto</cp:lastModifiedBy>
  <cp:revision>2</cp:revision>
  <dcterms:created xsi:type="dcterms:W3CDTF">2024-11-08T11:51:00Z</dcterms:created>
  <dcterms:modified xsi:type="dcterms:W3CDTF">2024-11-08T11:51:00Z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