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AC" w:rsidRDefault="007B18AC">
      <w:pPr>
        <w:rPr>
          <w:lang w:val="es-MX"/>
        </w:rPr>
      </w:pPr>
    </w:p>
    <w:p w:rsidR="007B18AC" w:rsidRDefault="007B18AC">
      <w:pPr>
        <w:rPr>
          <w:b/>
          <w:bCs/>
          <w:sz w:val="52"/>
          <w:szCs w:val="52"/>
        </w:rPr>
      </w:pPr>
    </w:p>
    <w:p w:rsidR="007B18AC" w:rsidRDefault="000A4D74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INFORMACION DE PRENSA</w:t>
      </w:r>
    </w:p>
    <w:p w:rsidR="007B18AC" w:rsidRDefault="007B18AC">
      <w:pPr>
        <w:rPr>
          <w:b/>
          <w:sz w:val="52"/>
          <w:szCs w:val="52"/>
          <w:u w:val="single"/>
        </w:rPr>
      </w:pPr>
    </w:p>
    <w:p w:rsidR="007B18AC" w:rsidRDefault="000A4D74">
      <w:r>
        <w:rPr>
          <w:b/>
          <w:sz w:val="44"/>
          <w:szCs w:val="44"/>
          <w:u w:val="single"/>
        </w:rPr>
        <w:t>EN OCTUBRE SE VENDIERON 141.550 AUTOS USADOS</w:t>
      </w:r>
    </w:p>
    <w:p w:rsidR="007B18AC" w:rsidRDefault="007B18AC">
      <w:pPr>
        <w:rPr>
          <w:b/>
          <w:sz w:val="44"/>
          <w:szCs w:val="44"/>
          <w:u w:val="single"/>
        </w:rPr>
      </w:pPr>
    </w:p>
    <w:p w:rsidR="007B18AC" w:rsidRDefault="000A4D74">
      <w:pPr>
        <w:rPr>
          <w:sz w:val="44"/>
          <w:szCs w:val="44"/>
        </w:rPr>
      </w:pPr>
      <w:r>
        <w:rPr>
          <w:b/>
          <w:sz w:val="44"/>
          <w:szCs w:val="44"/>
          <w:u w:val="single"/>
        </w:rPr>
        <w:t>EN LOS 10 PRIMEROS MESES DEL AÑO SE COMERCIALIZARON 1.400.057 UNIDADES</w:t>
      </w:r>
    </w:p>
    <w:p w:rsidR="007B18AC" w:rsidRDefault="007B18AC">
      <w:pPr>
        <w:rPr>
          <w:sz w:val="40"/>
          <w:szCs w:val="40"/>
        </w:rPr>
      </w:pPr>
    </w:p>
    <w:p w:rsidR="007B18AC" w:rsidRDefault="000A4D74">
      <w:pPr>
        <w:rPr>
          <w:sz w:val="40"/>
          <w:szCs w:val="40"/>
        </w:rPr>
      </w:pPr>
      <w:r>
        <w:rPr>
          <w:sz w:val="40"/>
          <w:szCs w:val="40"/>
        </w:rPr>
        <w:t>La Cámara del Comercio Automotor (CCA) informó que en el mes de octubre se comercializó en Argentina 141.550 vehículos usados, una suba del 19,75% comparado con igual mes de 2022 (118.203 unidades).</w:t>
      </w:r>
    </w:p>
    <w:p w:rsidR="007B18AC" w:rsidRDefault="007B18AC">
      <w:pPr>
        <w:rPr>
          <w:sz w:val="40"/>
          <w:szCs w:val="40"/>
        </w:rPr>
      </w:pPr>
    </w:p>
    <w:p w:rsidR="007B18AC" w:rsidRDefault="000A4D74">
      <w:pPr>
        <w:rPr>
          <w:sz w:val="40"/>
          <w:szCs w:val="40"/>
        </w:rPr>
      </w:pPr>
      <w:r>
        <w:rPr>
          <w:sz w:val="40"/>
          <w:szCs w:val="40"/>
        </w:rPr>
        <w:t>Si lo comparamos con septiembre (143.807 vehículos), la baja fue de 1,57%.</w:t>
      </w:r>
    </w:p>
    <w:p w:rsidR="007B18AC" w:rsidRDefault="007B18AC">
      <w:pPr>
        <w:rPr>
          <w:sz w:val="40"/>
          <w:szCs w:val="40"/>
        </w:rPr>
      </w:pPr>
    </w:p>
    <w:p w:rsidR="007B18AC" w:rsidRDefault="000A4D74">
      <w:pPr>
        <w:rPr>
          <w:sz w:val="40"/>
          <w:szCs w:val="40"/>
        </w:rPr>
      </w:pPr>
      <w:r>
        <w:rPr>
          <w:sz w:val="40"/>
          <w:szCs w:val="40"/>
        </w:rPr>
        <w:t>En los diez primeros meses del año se vendieron 1.400.057 vehículos usados, una suba del 5,47% con respecto a igual período de 2022 (1.327.459 unidades).</w:t>
      </w:r>
    </w:p>
    <w:p w:rsidR="007B18AC" w:rsidRDefault="007B18AC">
      <w:pPr>
        <w:rPr>
          <w:sz w:val="40"/>
          <w:szCs w:val="40"/>
        </w:rPr>
      </w:pPr>
    </w:p>
    <w:p w:rsidR="007B18AC" w:rsidRDefault="007B18AC">
      <w:pPr>
        <w:rPr>
          <w:b/>
          <w:u w:val="single"/>
        </w:rPr>
      </w:pPr>
    </w:p>
    <w:p w:rsidR="007B18AC" w:rsidRDefault="007B18AC">
      <w:pPr>
        <w:rPr>
          <w:b/>
          <w:sz w:val="44"/>
          <w:szCs w:val="44"/>
          <w:u w:val="single"/>
        </w:rPr>
      </w:pPr>
    </w:p>
    <w:p w:rsidR="007B18AC" w:rsidRDefault="007B18AC">
      <w:pPr>
        <w:rPr>
          <w:sz w:val="44"/>
          <w:szCs w:val="44"/>
        </w:rPr>
      </w:pPr>
    </w:p>
    <w:p w:rsidR="007B18AC" w:rsidRDefault="000A4D74">
      <w:pPr>
        <w:rPr>
          <w:sz w:val="44"/>
          <w:szCs w:val="44"/>
        </w:rPr>
      </w:pPr>
      <w:r>
        <w:rPr>
          <w:b/>
          <w:sz w:val="44"/>
          <w:szCs w:val="44"/>
          <w:u w:val="single"/>
        </w:rPr>
        <w:t xml:space="preserve">DECLARACIONES DE </w:t>
      </w:r>
      <w:r w:rsidR="004F6230">
        <w:rPr>
          <w:b/>
          <w:sz w:val="44"/>
          <w:szCs w:val="44"/>
          <w:u w:val="single"/>
        </w:rPr>
        <w:t>ALBERTO PRÍNCIPE, PRESIDENTE DE LA CÁMARA DEL COMERCIO AUTOMOTOR</w:t>
      </w:r>
    </w:p>
    <w:p w:rsidR="007B18AC" w:rsidRDefault="007B18AC">
      <w:pPr>
        <w:rPr>
          <w:b/>
          <w:sz w:val="48"/>
          <w:szCs w:val="48"/>
          <w:u w:val="single"/>
        </w:rPr>
      </w:pPr>
    </w:p>
    <w:p w:rsidR="007B18AC" w:rsidRDefault="007B18AC">
      <w:pPr>
        <w:rPr>
          <w:rFonts w:ascii="Open Sans;Arial;sans-serif" w:hAnsi="Open Sans;Arial;sans-serif"/>
          <w:color w:val="111111"/>
        </w:rPr>
      </w:pPr>
    </w:p>
    <w:p w:rsidR="004F6230" w:rsidRPr="004F6230" w:rsidRDefault="004F6230" w:rsidP="004F6230">
      <w:pPr>
        <w:rPr>
          <w:rFonts w:ascii="Open Sans;Arial;sans-serif" w:hAnsi="Open Sans;Arial;sans-serif"/>
          <w:color w:val="111111"/>
          <w:sz w:val="40"/>
          <w:szCs w:val="40"/>
        </w:rPr>
      </w:pPr>
      <w:r>
        <w:rPr>
          <w:rFonts w:ascii="Open Sans;Arial;sans-serif" w:hAnsi="Open Sans;Arial;sans-serif"/>
          <w:color w:val="111111"/>
          <w:sz w:val="40"/>
          <w:szCs w:val="40"/>
        </w:rPr>
        <w:t>“</w:t>
      </w:r>
      <w:r w:rsidRPr="004F6230">
        <w:rPr>
          <w:rFonts w:ascii="Open Sans;Arial;sans-serif" w:hAnsi="Open Sans;Arial;sans-serif"/>
          <w:color w:val="111111"/>
          <w:sz w:val="40"/>
          <w:szCs w:val="40"/>
        </w:rPr>
        <w:t>Octubre nos volvió  a mostrar otro mes de crecimiento consecutivo del sector. Se vendieron 141.550 unidades, un volumen impensado en los tiempos que vivimos</w:t>
      </w:r>
      <w:r>
        <w:rPr>
          <w:rFonts w:ascii="Open Sans;Arial;sans-serif" w:hAnsi="Open Sans;Arial;sans-serif"/>
          <w:color w:val="111111"/>
          <w:sz w:val="40"/>
          <w:szCs w:val="40"/>
        </w:rPr>
        <w:t>”, dijo Alberto Príncipe, presidente de la CCA</w:t>
      </w:r>
      <w:r w:rsidRPr="004F6230">
        <w:rPr>
          <w:rFonts w:ascii="Open Sans;Arial;sans-serif" w:hAnsi="Open Sans;Arial;sans-serif"/>
          <w:color w:val="111111"/>
          <w:sz w:val="40"/>
          <w:szCs w:val="40"/>
        </w:rPr>
        <w:t xml:space="preserve">.  </w:t>
      </w:r>
    </w:p>
    <w:p w:rsidR="004F6230" w:rsidRDefault="004F6230" w:rsidP="004F6230">
      <w:pPr>
        <w:rPr>
          <w:rFonts w:ascii="Open Sans;Arial;sans-serif" w:hAnsi="Open Sans;Arial;sans-serif"/>
          <w:color w:val="111111"/>
          <w:sz w:val="40"/>
          <w:szCs w:val="40"/>
        </w:rPr>
      </w:pPr>
    </w:p>
    <w:p w:rsidR="004F6230" w:rsidRPr="004F6230" w:rsidRDefault="004F6230" w:rsidP="004F6230">
      <w:pPr>
        <w:rPr>
          <w:rFonts w:ascii="Open Sans;Arial;sans-serif" w:hAnsi="Open Sans;Arial;sans-serif"/>
          <w:color w:val="111111"/>
          <w:sz w:val="40"/>
          <w:szCs w:val="40"/>
        </w:rPr>
      </w:pPr>
      <w:r>
        <w:rPr>
          <w:rFonts w:ascii="Open Sans;Arial;sans-serif" w:hAnsi="Open Sans;Arial;sans-serif"/>
          <w:color w:val="111111"/>
          <w:sz w:val="40"/>
          <w:szCs w:val="40"/>
        </w:rPr>
        <w:t>“</w:t>
      </w:r>
      <w:r w:rsidRPr="004F6230">
        <w:rPr>
          <w:rFonts w:ascii="Open Sans;Arial;sans-serif" w:hAnsi="Open Sans;Arial;sans-serif"/>
          <w:color w:val="111111"/>
          <w:sz w:val="40"/>
          <w:szCs w:val="40"/>
        </w:rPr>
        <w:t>Este aumento de casi el 20% con respecto a igual mes del año pasado, en otro contexto la venta se habría incrementado considerablemente. De todas maneras, esperamos un mercado para fin de año superior a 1.600.000 vehículos</w:t>
      </w:r>
      <w:r>
        <w:rPr>
          <w:rFonts w:ascii="Open Sans;Arial;sans-serif" w:hAnsi="Open Sans;Arial;sans-serif"/>
          <w:color w:val="111111"/>
          <w:sz w:val="40"/>
          <w:szCs w:val="40"/>
        </w:rPr>
        <w:t>”, mencionó el directivo</w:t>
      </w:r>
      <w:r w:rsidRPr="004F6230">
        <w:rPr>
          <w:rFonts w:ascii="Open Sans;Arial;sans-serif" w:hAnsi="Open Sans;Arial;sans-serif"/>
          <w:color w:val="111111"/>
          <w:sz w:val="40"/>
          <w:szCs w:val="40"/>
        </w:rPr>
        <w:t xml:space="preserve">. </w:t>
      </w:r>
    </w:p>
    <w:p w:rsidR="004F6230" w:rsidRDefault="004F6230" w:rsidP="004F6230">
      <w:pPr>
        <w:rPr>
          <w:rFonts w:ascii="Open Sans;Arial;sans-serif" w:hAnsi="Open Sans;Arial;sans-serif"/>
          <w:color w:val="111111"/>
          <w:sz w:val="40"/>
          <w:szCs w:val="40"/>
        </w:rPr>
      </w:pPr>
    </w:p>
    <w:p w:rsidR="004F6230" w:rsidRPr="004F6230" w:rsidRDefault="004F6230" w:rsidP="004F6230">
      <w:pPr>
        <w:rPr>
          <w:rFonts w:ascii="Open Sans;Arial;sans-serif" w:hAnsi="Open Sans;Arial;sans-serif"/>
          <w:color w:val="111111"/>
          <w:sz w:val="40"/>
          <w:szCs w:val="40"/>
        </w:rPr>
      </w:pPr>
      <w:r>
        <w:rPr>
          <w:rFonts w:ascii="Open Sans;Arial;sans-serif" w:hAnsi="Open Sans;Arial;sans-serif"/>
          <w:color w:val="111111"/>
          <w:sz w:val="40"/>
          <w:szCs w:val="40"/>
        </w:rPr>
        <w:t>“</w:t>
      </w:r>
      <w:r w:rsidRPr="004F6230">
        <w:rPr>
          <w:rFonts w:ascii="Open Sans;Arial;sans-serif" w:hAnsi="Open Sans;Arial;sans-serif"/>
          <w:color w:val="111111"/>
          <w:sz w:val="40"/>
          <w:szCs w:val="40"/>
        </w:rPr>
        <w:t>El sector sigue demandado pese a que los locales de venta siguen con poco stock. Hoy la mayoría de las operaciones se realizan con la entrega de un usado, sino la misma no se concreta</w:t>
      </w:r>
      <w:r>
        <w:rPr>
          <w:rFonts w:ascii="Open Sans;Arial;sans-serif" w:hAnsi="Open Sans;Arial;sans-serif"/>
          <w:color w:val="111111"/>
          <w:sz w:val="40"/>
          <w:szCs w:val="40"/>
        </w:rPr>
        <w:t>”, expresó Príncipe</w:t>
      </w:r>
      <w:r w:rsidRPr="004F6230">
        <w:rPr>
          <w:rFonts w:ascii="Open Sans;Arial;sans-serif" w:hAnsi="Open Sans;Arial;sans-serif"/>
          <w:color w:val="111111"/>
          <w:sz w:val="40"/>
          <w:szCs w:val="40"/>
        </w:rPr>
        <w:t xml:space="preserve">. </w:t>
      </w:r>
    </w:p>
    <w:p w:rsidR="004F6230" w:rsidRDefault="004F6230" w:rsidP="004F6230">
      <w:pPr>
        <w:rPr>
          <w:rFonts w:ascii="Open Sans;Arial;sans-serif" w:hAnsi="Open Sans;Arial;sans-serif"/>
          <w:color w:val="111111"/>
          <w:sz w:val="40"/>
          <w:szCs w:val="40"/>
        </w:rPr>
      </w:pPr>
    </w:p>
    <w:p w:rsidR="004F6230" w:rsidRDefault="004F6230" w:rsidP="004F6230">
      <w:pPr>
        <w:rPr>
          <w:rFonts w:ascii="Open Sans;Arial;sans-serif" w:hAnsi="Open Sans;Arial;sans-serif"/>
          <w:color w:val="111111"/>
          <w:sz w:val="40"/>
          <w:szCs w:val="40"/>
        </w:rPr>
      </w:pPr>
    </w:p>
    <w:p w:rsidR="004F6230" w:rsidRDefault="004F6230" w:rsidP="004F6230">
      <w:pPr>
        <w:rPr>
          <w:rFonts w:ascii="Open Sans;Arial;sans-serif" w:hAnsi="Open Sans;Arial;sans-serif"/>
          <w:color w:val="111111"/>
          <w:sz w:val="40"/>
          <w:szCs w:val="40"/>
        </w:rPr>
      </w:pPr>
    </w:p>
    <w:p w:rsidR="004F6230" w:rsidRDefault="004F6230" w:rsidP="004F6230">
      <w:pPr>
        <w:rPr>
          <w:rFonts w:ascii="Open Sans;Arial;sans-serif" w:hAnsi="Open Sans;Arial;sans-serif"/>
          <w:color w:val="111111"/>
          <w:sz w:val="40"/>
          <w:szCs w:val="40"/>
        </w:rPr>
      </w:pPr>
    </w:p>
    <w:p w:rsidR="007B18AC" w:rsidRDefault="004F6230" w:rsidP="004F6230">
      <w:pPr>
        <w:rPr>
          <w:rFonts w:ascii="Open Sans;Arial;sans-serif" w:hAnsi="Open Sans;Arial;sans-serif"/>
          <w:color w:val="111111"/>
          <w:sz w:val="40"/>
          <w:szCs w:val="40"/>
        </w:rPr>
      </w:pPr>
      <w:r>
        <w:rPr>
          <w:rFonts w:ascii="Open Sans;Arial;sans-serif" w:hAnsi="Open Sans;Arial;sans-serif"/>
          <w:color w:val="111111"/>
          <w:sz w:val="40"/>
          <w:szCs w:val="40"/>
        </w:rPr>
        <w:t>“</w:t>
      </w:r>
      <w:r w:rsidRPr="004F6230">
        <w:rPr>
          <w:rFonts w:ascii="Open Sans;Arial;sans-serif" w:hAnsi="Open Sans;Arial;sans-serif"/>
          <w:color w:val="111111"/>
          <w:sz w:val="40"/>
          <w:szCs w:val="40"/>
        </w:rPr>
        <w:t>Con respecto a los precios, esperamos que en los próximos meses los mismos vuelvan a la normalidad</w:t>
      </w:r>
      <w:r>
        <w:rPr>
          <w:rFonts w:ascii="Open Sans;Arial;sans-serif" w:hAnsi="Open Sans;Arial;sans-serif"/>
          <w:color w:val="111111"/>
          <w:sz w:val="40"/>
          <w:szCs w:val="40"/>
        </w:rPr>
        <w:t>”, aclaró</w:t>
      </w:r>
      <w:bookmarkStart w:id="0" w:name="_GoBack"/>
      <w:bookmarkEnd w:id="0"/>
      <w:r w:rsidRPr="004F6230">
        <w:rPr>
          <w:rFonts w:ascii="Open Sans;Arial;sans-serif" w:hAnsi="Open Sans;Arial;sans-serif"/>
          <w:color w:val="111111"/>
          <w:sz w:val="40"/>
          <w:szCs w:val="40"/>
        </w:rPr>
        <w:t>.</w:t>
      </w:r>
    </w:p>
    <w:p w:rsidR="007B18AC" w:rsidRDefault="007B18AC">
      <w:pPr>
        <w:pStyle w:val="Textoindependiente"/>
        <w:rPr>
          <w:rFonts w:ascii="Open Sans;Arial;sans-serif" w:hAnsi="Open Sans;Arial;sans-serif"/>
          <w:color w:val="111111"/>
          <w:sz w:val="40"/>
          <w:szCs w:val="40"/>
        </w:rPr>
      </w:pPr>
    </w:p>
    <w:p w:rsidR="007B18AC" w:rsidRDefault="007B18AC">
      <w:pPr>
        <w:rPr>
          <w:sz w:val="40"/>
          <w:szCs w:val="40"/>
        </w:rPr>
      </w:pPr>
    </w:p>
    <w:p w:rsidR="007B18AC" w:rsidRDefault="000A4D74">
      <w:pPr>
        <w:rPr>
          <w:sz w:val="40"/>
          <w:szCs w:val="40"/>
        </w:rPr>
      </w:pPr>
      <w:r>
        <w:rPr>
          <w:b/>
          <w:bCs/>
          <w:sz w:val="40"/>
          <w:szCs w:val="40"/>
          <w:u w:val="single"/>
        </w:rPr>
        <w:t>RANKING 10 AUTOS USADOS MÁS VENDIDOS EN</w:t>
      </w:r>
      <w:r w:rsidR="00D92F76">
        <w:rPr>
          <w:b/>
          <w:bCs/>
          <w:sz w:val="40"/>
          <w:szCs w:val="40"/>
          <w:u w:val="single"/>
        </w:rPr>
        <w:t xml:space="preserve"> OCTUBRE</w:t>
      </w:r>
    </w:p>
    <w:p w:rsidR="007B18AC" w:rsidRDefault="000A4D74">
      <w:pPr>
        <w:rPr>
          <w:b/>
          <w:bCs/>
          <w:sz w:val="40"/>
          <w:szCs w:val="40"/>
          <w:lang w:val="es-AR"/>
        </w:rPr>
      </w:pPr>
      <w:r>
        <w:rPr>
          <w:b/>
          <w:bCs/>
          <w:sz w:val="40"/>
          <w:szCs w:val="40"/>
          <w:u w:val="single"/>
        </w:rPr>
        <w:t xml:space="preserve"> </w:t>
      </w:r>
    </w:p>
    <w:p w:rsidR="007B18AC" w:rsidRDefault="000A4D74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 xml:space="preserve">VW Gol y </w:t>
      </w:r>
      <w:proofErr w:type="spellStart"/>
      <w:r>
        <w:rPr>
          <w:sz w:val="40"/>
          <w:szCs w:val="40"/>
          <w:lang w:val="es-AR"/>
        </w:rPr>
        <w:t>Trend</w:t>
      </w:r>
      <w:proofErr w:type="spellEnd"/>
      <w:r>
        <w:rPr>
          <w:sz w:val="40"/>
          <w:szCs w:val="40"/>
          <w:lang w:val="es-AR"/>
        </w:rPr>
        <w:t xml:space="preserve">: </w:t>
      </w:r>
      <w:r w:rsidR="00D92F76">
        <w:rPr>
          <w:sz w:val="40"/>
          <w:szCs w:val="40"/>
          <w:lang w:val="es-AR"/>
        </w:rPr>
        <w:t>8.690</w:t>
      </w:r>
    </w:p>
    <w:p w:rsidR="007B18AC" w:rsidRDefault="00D92F76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 xml:space="preserve">Chevrolet Corsa y </w:t>
      </w:r>
      <w:proofErr w:type="spellStart"/>
      <w:r>
        <w:rPr>
          <w:sz w:val="40"/>
          <w:szCs w:val="40"/>
          <w:lang w:val="es-AR"/>
        </w:rPr>
        <w:t>Classic</w:t>
      </w:r>
      <w:proofErr w:type="spellEnd"/>
      <w:r>
        <w:rPr>
          <w:sz w:val="40"/>
          <w:szCs w:val="40"/>
          <w:lang w:val="es-AR"/>
        </w:rPr>
        <w:t>: 5.031</w:t>
      </w:r>
    </w:p>
    <w:p w:rsidR="007B18AC" w:rsidRDefault="00D92F76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 xml:space="preserve">Toyota </w:t>
      </w:r>
      <w:proofErr w:type="spellStart"/>
      <w:r>
        <w:rPr>
          <w:sz w:val="40"/>
          <w:szCs w:val="40"/>
          <w:lang w:val="es-AR"/>
        </w:rPr>
        <w:t>Hilux</w:t>
      </w:r>
      <w:proofErr w:type="spellEnd"/>
      <w:r>
        <w:rPr>
          <w:sz w:val="40"/>
          <w:szCs w:val="40"/>
          <w:lang w:val="es-AR"/>
        </w:rPr>
        <w:t>: 4.306</w:t>
      </w:r>
    </w:p>
    <w:p w:rsidR="007B18AC" w:rsidRDefault="00D92F76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 xml:space="preserve">Renault </w:t>
      </w:r>
      <w:proofErr w:type="spellStart"/>
      <w:r>
        <w:rPr>
          <w:sz w:val="40"/>
          <w:szCs w:val="40"/>
          <w:lang w:val="es-AR"/>
        </w:rPr>
        <w:t>Clio</w:t>
      </w:r>
      <w:proofErr w:type="spellEnd"/>
      <w:r>
        <w:rPr>
          <w:sz w:val="40"/>
          <w:szCs w:val="40"/>
          <w:lang w:val="es-AR"/>
        </w:rPr>
        <w:t>: 3.454</w:t>
      </w:r>
    </w:p>
    <w:p w:rsidR="007B18AC" w:rsidRDefault="00D92F76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 xml:space="preserve">Ford </w:t>
      </w:r>
      <w:proofErr w:type="spellStart"/>
      <w:r>
        <w:rPr>
          <w:sz w:val="40"/>
          <w:szCs w:val="40"/>
          <w:lang w:val="es-AR"/>
        </w:rPr>
        <w:t>Ranger</w:t>
      </w:r>
      <w:proofErr w:type="spellEnd"/>
      <w:r>
        <w:rPr>
          <w:sz w:val="40"/>
          <w:szCs w:val="40"/>
          <w:lang w:val="es-AR"/>
        </w:rPr>
        <w:t>: 3.387</w:t>
      </w:r>
    </w:p>
    <w:p w:rsidR="007B18AC" w:rsidRDefault="00D92F76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Ford Fiesta: 3.219</w:t>
      </w:r>
    </w:p>
    <w:p w:rsidR="007B18AC" w:rsidRDefault="000A4D74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 xml:space="preserve">VW </w:t>
      </w:r>
      <w:proofErr w:type="spellStart"/>
      <w:r>
        <w:rPr>
          <w:sz w:val="40"/>
          <w:szCs w:val="40"/>
          <w:lang w:val="es-AR"/>
        </w:rPr>
        <w:t>Amarok</w:t>
      </w:r>
      <w:proofErr w:type="spellEnd"/>
      <w:r>
        <w:rPr>
          <w:sz w:val="40"/>
          <w:szCs w:val="40"/>
          <w:lang w:val="es-AR"/>
        </w:rPr>
        <w:t xml:space="preserve">: </w:t>
      </w:r>
      <w:r w:rsidR="00D92F76">
        <w:rPr>
          <w:sz w:val="40"/>
          <w:szCs w:val="40"/>
          <w:lang w:val="es-AR"/>
        </w:rPr>
        <w:t>3.090</w:t>
      </w:r>
    </w:p>
    <w:p w:rsidR="00D92F76" w:rsidRDefault="00D92F76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Fiat Palio: 2.906</w:t>
      </w:r>
    </w:p>
    <w:p w:rsidR="00D92F76" w:rsidRDefault="00D92F76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 xml:space="preserve">Ford </w:t>
      </w:r>
      <w:proofErr w:type="spellStart"/>
      <w:r>
        <w:rPr>
          <w:sz w:val="40"/>
          <w:szCs w:val="40"/>
          <w:lang w:val="es-AR"/>
        </w:rPr>
        <w:t>EcoSport</w:t>
      </w:r>
      <w:proofErr w:type="spellEnd"/>
      <w:r>
        <w:rPr>
          <w:sz w:val="40"/>
          <w:szCs w:val="40"/>
          <w:lang w:val="es-AR"/>
        </w:rPr>
        <w:t>: 2.855</w:t>
      </w:r>
    </w:p>
    <w:p w:rsidR="007B18AC" w:rsidRDefault="00D92F76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 xml:space="preserve">Ford </w:t>
      </w:r>
      <w:proofErr w:type="spellStart"/>
      <w:r>
        <w:rPr>
          <w:sz w:val="40"/>
          <w:szCs w:val="40"/>
          <w:lang w:val="es-AR"/>
        </w:rPr>
        <w:t>Focus</w:t>
      </w:r>
      <w:proofErr w:type="spellEnd"/>
      <w:r>
        <w:rPr>
          <w:sz w:val="40"/>
          <w:szCs w:val="40"/>
          <w:lang w:val="es-AR"/>
        </w:rPr>
        <w:t>: 2.697</w:t>
      </w:r>
    </w:p>
    <w:p w:rsidR="007B18AC" w:rsidRDefault="007B18AC">
      <w:pPr>
        <w:rPr>
          <w:b/>
          <w:bCs/>
          <w:sz w:val="40"/>
          <w:szCs w:val="40"/>
          <w:u w:val="single"/>
          <w:lang w:val="es-AR"/>
        </w:rPr>
      </w:pPr>
    </w:p>
    <w:p w:rsidR="007B18AC" w:rsidRDefault="007B18AC">
      <w:pPr>
        <w:rPr>
          <w:b/>
          <w:bCs/>
          <w:sz w:val="40"/>
          <w:szCs w:val="40"/>
          <w:u w:val="single"/>
          <w:lang w:val="es-AR"/>
        </w:rPr>
      </w:pPr>
    </w:p>
    <w:p w:rsidR="007B18AC" w:rsidRDefault="007B18AC">
      <w:pPr>
        <w:rPr>
          <w:b/>
          <w:bCs/>
          <w:sz w:val="40"/>
          <w:szCs w:val="40"/>
          <w:u w:val="single"/>
          <w:lang w:val="es-AR"/>
        </w:rPr>
      </w:pPr>
    </w:p>
    <w:p w:rsidR="007B18AC" w:rsidRDefault="007B18AC">
      <w:pPr>
        <w:rPr>
          <w:b/>
          <w:bCs/>
          <w:sz w:val="40"/>
          <w:szCs w:val="40"/>
          <w:u w:val="single"/>
          <w:lang w:val="es-AR"/>
        </w:rPr>
      </w:pPr>
    </w:p>
    <w:p w:rsidR="007B18AC" w:rsidRDefault="000A4D74">
      <w:pPr>
        <w:rPr>
          <w:b/>
          <w:bCs/>
          <w:sz w:val="40"/>
          <w:szCs w:val="40"/>
          <w:u w:val="single"/>
          <w:lang w:val="es-AR"/>
        </w:rPr>
      </w:pPr>
      <w:r>
        <w:rPr>
          <w:b/>
          <w:bCs/>
          <w:sz w:val="40"/>
          <w:szCs w:val="40"/>
          <w:u w:val="single"/>
          <w:lang w:val="es-AR"/>
        </w:rPr>
        <w:t>AUTOS USADOS: PROVINCIAS QUE SUBIERON EN EL PE</w:t>
      </w:r>
      <w:r w:rsidR="00D92F76">
        <w:rPr>
          <w:b/>
          <w:bCs/>
          <w:sz w:val="40"/>
          <w:szCs w:val="40"/>
          <w:u w:val="single"/>
          <w:lang w:val="es-AR"/>
        </w:rPr>
        <w:t>RÍODO ENERO-OCTUBRE</w:t>
      </w:r>
      <w:r>
        <w:rPr>
          <w:b/>
          <w:bCs/>
          <w:sz w:val="40"/>
          <w:szCs w:val="40"/>
          <w:u w:val="single"/>
          <w:lang w:val="es-AR"/>
        </w:rPr>
        <w:t xml:space="preserve"> 2023</w:t>
      </w:r>
    </w:p>
    <w:p w:rsidR="007B18AC" w:rsidRDefault="007B18AC">
      <w:pPr>
        <w:rPr>
          <w:b/>
          <w:bCs/>
          <w:sz w:val="40"/>
          <w:szCs w:val="40"/>
          <w:u w:val="single"/>
          <w:lang w:val="es-AR"/>
        </w:rPr>
      </w:pPr>
    </w:p>
    <w:p w:rsidR="007B18AC" w:rsidRDefault="00D92F76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Neuquén: 13,97</w:t>
      </w:r>
      <w:r w:rsidR="000A4D74">
        <w:rPr>
          <w:bCs/>
          <w:sz w:val="40"/>
          <w:szCs w:val="40"/>
          <w:lang w:val="es-AR"/>
        </w:rPr>
        <w:t>%</w:t>
      </w:r>
    </w:p>
    <w:p w:rsidR="007B18AC" w:rsidRDefault="00D92F76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Catamarca: 12,56</w:t>
      </w:r>
      <w:r w:rsidR="000A4D74">
        <w:rPr>
          <w:bCs/>
          <w:sz w:val="40"/>
          <w:szCs w:val="40"/>
          <w:lang w:val="es-AR"/>
        </w:rPr>
        <w:t>%</w:t>
      </w:r>
    </w:p>
    <w:p w:rsidR="007B18AC" w:rsidRDefault="00D92F76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Formosa: 11,79%</w:t>
      </w:r>
    </w:p>
    <w:p w:rsidR="00D92F76" w:rsidRDefault="00D92F76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Tucumán: 11,31%</w:t>
      </w:r>
    </w:p>
    <w:p w:rsidR="00D92F76" w:rsidRDefault="00D92F76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Salta: 10,99%</w:t>
      </w:r>
    </w:p>
    <w:p w:rsidR="00D92F76" w:rsidRDefault="00D92F76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San Juan: 10,10%</w:t>
      </w:r>
    </w:p>
    <w:p w:rsidR="00D92F76" w:rsidRDefault="00D92F76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Mendoza: 9,78%</w:t>
      </w:r>
    </w:p>
    <w:p w:rsidR="00D92F76" w:rsidRDefault="00D92F76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Río Negro: 9,30%</w:t>
      </w:r>
    </w:p>
    <w:p w:rsidR="00D92F76" w:rsidRDefault="00D92F76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Santa Cruz: 7,70%</w:t>
      </w:r>
    </w:p>
    <w:p w:rsidR="00D92F76" w:rsidRDefault="00D92F76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Corrientes: 7,02%</w:t>
      </w:r>
    </w:p>
    <w:p w:rsidR="00D92F76" w:rsidRDefault="006E07E9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Jujuy: 6,51%</w:t>
      </w:r>
    </w:p>
    <w:p w:rsidR="006E07E9" w:rsidRDefault="006E07E9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Misiones: 6,03%</w:t>
      </w:r>
    </w:p>
    <w:p w:rsidR="006E07E9" w:rsidRDefault="006E07E9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Córdoba: 6,03%</w:t>
      </w:r>
    </w:p>
    <w:p w:rsidR="006E07E9" w:rsidRDefault="006E07E9">
      <w:pPr>
        <w:rPr>
          <w:bCs/>
          <w:sz w:val="40"/>
          <w:szCs w:val="40"/>
          <w:lang w:val="es-AR"/>
        </w:rPr>
      </w:pPr>
      <w:proofErr w:type="spellStart"/>
      <w:r>
        <w:rPr>
          <w:bCs/>
          <w:sz w:val="40"/>
          <w:szCs w:val="40"/>
          <w:lang w:val="es-AR"/>
        </w:rPr>
        <w:t>Pcia</w:t>
      </w:r>
      <w:proofErr w:type="spellEnd"/>
      <w:r>
        <w:rPr>
          <w:bCs/>
          <w:sz w:val="40"/>
          <w:szCs w:val="40"/>
          <w:lang w:val="es-AR"/>
        </w:rPr>
        <w:t>. Bs. As.: 5,85%</w:t>
      </w:r>
    </w:p>
    <w:p w:rsidR="006E07E9" w:rsidRDefault="006E07E9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Tierra del Fuego: 5,28%</w:t>
      </w:r>
    </w:p>
    <w:p w:rsidR="006E07E9" w:rsidRDefault="006E07E9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La Pampa: 5,21%</w:t>
      </w:r>
    </w:p>
    <w:p w:rsidR="006E07E9" w:rsidRDefault="006E07E9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Chubut: 5,16%</w:t>
      </w:r>
    </w:p>
    <w:p w:rsidR="004F6230" w:rsidRDefault="004F6230">
      <w:pPr>
        <w:rPr>
          <w:bCs/>
          <w:sz w:val="40"/>
          <w:szCs w:val="40"/>
          <w:lang w:val="es-AR"/>
        </w:rPr>
      </w:pPr>
    </w:p>
    <w:p w:rsidR="004F6230" w:rsidRDefault="004F6230">
      <w:pPr>
        <w:rPr>
          <w:bCs/>
          <w:sz w:val="40"/>
          <w:szCs w:val="40"/>
          <w:lang w:val="es-AR"/>
        </w:rPr>
      </w:pPr>
    </w:p>
    <w:p w:rsidR="004F6230" w:rsidRDefault="004F6230">
      <w:pPr>
        <w:rPr>
          <w:bCs/>
          <w:sz w:val="40"/>
          <w:szCs w:val="40"/>
          <w:lang w:val="es-AR"/>
        </w:rPr>
      </w:pPr>
    </w:p>
    <w:p w:rsidR="006E07E9" w:rsidRDefault="006E07E9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Entre Ríos: 4,76%</w:t>
      </w:r>
    </w:p>
    <w:p w:rsidR="006E07E9" w:rsidRDefault="006E07E9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Chaco: 4,74%</w:t>
      </w:r>
    </w:p>
    <w:p w:rsidR="006E07E9" w:rsidRDefault="006E07E9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La Rioja: 3,07%</w:t>
      </w:r>
    </w:p>
    <w:p w:rsidR="006E07E9" w:rsidRDefault="006E07E9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CABA: 3,03%</w:t>
      </w:r>
    </w:p>
    <w:p w:rsidR="006E07E9" w:rsidRDefault="006E07E9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San Luis: 2,27%</w:t>
      </w:r>
    </w:p>
    <w:p w:rsidR="006E07E9" w:rsidRDefault="006E07E9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Santiago del Estero: 1,58%</w:t>
      </w:r>
    </w:p>
    <w:p w:rsidR="007B18AC" w:rsidRDefault="007B18AC">
      <w:pPr>
        <w:rPr>
          <w:bCs/>
          <w:sz w:val="40"/>
          <w:szCs w:val="40"/>
          <w:lang w:val="es-AR"/>
        </w:rPr>
      </w:pPr>
    </w:p>
    <w:p w:rsidR="007B18AC" w:rsidRDefault="000A4D74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AUTOS USADOS: </w:t>
      </w:r>
      <w:r w:rsidR="006E07E9">
        <w:rPr>
          <w:b/>
          <w:bCs/>
          <w:sz w:val="40"/>
          <w:szCs w:val="40"/>
          <w:u w:val="single"/>
        </w:rPr>
        <w:t xml:space="preserve">PROVINCIAS QUE BAJARON EN ENERO-OCTUBRE </w:t>
      </w:r>
      <w:r>
        <w:rPr>
          <w:b/>
          <w:bCs/>
          <w:sz w:val="40"/>
          <w:szCs w:val="40"/>
          <w:u w:val="single"/>
        </w:rPr>
        <w:t>2023</w:t>
      </w:r>
    </w:p>
    <w:p w:rsidR="007B18AC" w:rsidRDefault="007B18AC">
      <w:pPr>
        <w:rPr>
          <w:b/>
          <w:bCs/>
          <w:sz w:val="40"/>
          <w:szCs w:val="40"/>
          <w:u w:val="single"/>
        </w:rPr>
      </w:pPr>
    </w:p>
    <w:p w:rsidR="007B18AC" w:rsidRPr="006E07E9" w:rsidRDefault="006E07E9">
      <w:pPr>
        <w:rPr>
          <w:bCs/>
          <w:sz w:val="40"/>
          <w:szCs w:val="40"/>
        </w:rPr>
      </w:pPr>
      <w:r w:rsidRPr="006E07E9">
        <w:rPr>
          <w:bCs/>
          <w:sz w:val="40"/>
          <w:szCs w:val="40"/>
        </w:rPr>
        <w:t>Santa Fe: 1,65%</w:t>
      </w:r>
    </w:p>
    <w:p w:rsidR="006E07E9" w:rsidRDefault="006E07E9">
      <w:pPr>
        <w:rPr>
          <w:sz w:val="28"/>
          <w:szCs w:val="28"/>
        </w:rPr>
      </w:pPr>
    </w:p>
    <w:p w:rsidR="007B18AC" w:rsidRDefault="007B18AC">
      <w:pPr>
        <w:rPr>
          <w:b/>
          <w:bCs/>
          <w:sz w:val="40"/>
          <w:szCs w:val="40"/>
          <w:u w:val="single"/>
        </w:rPr>
      </w:pPr>
    </w:p>
    <w:p w:rsidR="007B18AC" w:rsidRDefault="007B18AC">
      <w:pPr>
        <w:rPr>
          <w:b/>
          <w:bCs/>
          <w:sz w:val="40"/>
          <w:szCs w:val="40"/>
        </w:rPr>
      </w:pPr>
    </w:p>
    <w:p w:rsidR="007B18AC" w:rsidRDefault="007B18AC">
      <w:pPr>
        <w:rPr>
          <w:bCs/>
          <w:sz w:val="40"/>
          <w:szCs w:val="40"/>
        </w:rPr>
      </w:pPr>
    </w:p>
    <w:p w:rsidR="007B18AC" w:rsidRDefault="007B18AC">
      <w:pPr>
        <w:rPr>
          <w:bCs/>
          <w:sz w:val="40"/>
          <w:szCs w:val="40"/>
        </w:rPr>
      </w:pPr>
    </w:p>
    <w:p w:rsidR="007B18AC" w:rsidRDefault="000A4D74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Buenos Aires, </w:t>
      </w:r>
      <w:r w:rsidR="006E07E9">
        <w:rPr>
          <w:bCs/>
          <w:sz w:val="40"/>
          <w:szCs w:val="40"/>
        </w:rPr>
        <w:t>noviembre</w:t>
      </w:r>
      <w:r>
        <w:rPr>
          <w:bCs/>
          <w:sz w:val="40"/>
          <w:szCs w:val="40"/>
        </w:rPr>
        <w:t xml:space="preserve"> 2023</w:t>
      </w:r>
    </w:p>
    <w:p w:rsidR="007B18AC" w:rsidRDefault="007B18AC">
      <w:pPr>
        <w:rPr>
          <w:bCs/>
          <w:sz w:val="40"/>
          <w:szCs w:val="40"/>
        </w:rPr>
      </w:pPr>
    </w:p>
    <w:p w:rsidR="007B18AC" w:rsidRDefault="007B18AC">
      <w:pPr>
        <w:rPr>
          <w:bCs/>
          <w:sz w:val="40"/>
          <w:szCs w:val="40"/>
        </w:rPr>
      </w:pPr>
    </w:p>
    <w:p w:rsidR="007B18AC" w:rsidRDefault="007B18AC">
      <w:pPr>
        <w:rPr>
          <w:bCs/>
          <w:sz w:val="40"/>
          <w:szCs w:val="40"/>
        </w:rPr>
      </w:pPr>
    </w:p>
    <w:p w:rsidR="007B18AC" w:rsidRDefault="007B18AC">
      <w:pPr>
        <w:rPr>
          <w:bCs/>
          <w:sz w:val="40"/>
          <w:szCs w:val="40"/>
        </w:rPr>
      </w:pPr>
    </w:p>
    <w:p w:rsidR="007B18AC" w:rsidRDefault="007B18AC">
      <w:pPr>
        <w:rPr>
          <w:b/>
          <w:bCs/>
          <w:sz w:val="40"/>
          <w:szCs w:val="40"/>
          <w:u w:val="single"/>
        </w:rPr>
      </w:pPr>
    </w:p>
    <w:p w:rsidR="007B18AC" w:rsidRDefault="007B18AC">
      <w:pPr>
        <w:rPr>
          <w:sz w:val="40"/>
          <w:szCs w:val="40"/>
          <w:lang w:val="es-AR"/>
        </w:rPr>
      </w:pPr>
    </w:p>
    <w:sectPr w:rsidR="007B18AC">
      <w:headerReference w:type="default" r:id="rId7"/>
      <w:footerReference w:type="default" r:id="rId8"/>
      <w:pgSz w:w="12240" w:h="15840"/>
      <w:pgMar w:top="777" w:right="1418" w:bottom="1559" w:left="1418" w:header="720" w:footer="129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4B6" w:rsidRDefault="00ED04B6">
      <w:r>
        <w:separator/>
      </w:r>
    </w:p>
  </w:endnote>
  <w:endnote w:type="continuationSeparator" w:id="0">
    <w:p w:rsidR="00ED04B6" w:rsidRDefault="00ED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;Arial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8AC" w:rsidRDefault="000A4D74">
    <w:pPr>
      <w:spacing w:before="120"/>
      <w:jc w:val="center"/>
      <w:rPr>
        <w:sz w:val="20"/>
      </w:rPr>
    </w:pPr>
    <w:r>
      <w:rPr>
        <w:sz w:val="20"/>
      </w:rPr>
      <w:t>SOLER 3909 - (1425)  BUENOS AIRES   TEL. 4824-7272/9505/9498/9489   FAX. 4822-7453  4823-1837</w:t>
    </w:r>
  </w:p>
  <w:p w:rsidR="007B18AC" w:rsidRDefault="000A4D74">
    <w:pPr>
      <w:pStyle w:val="Piedepgina1"/>
    </w:pPr>
    <w:r>
      <w:tab/>
      <w:t>http://www.cca.org.ar---- e-mail: cca@cca.org.ar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4B6" w:rsidRDefault="00ED04B6">
      <w:r>
        <w:separator/>
      </w:r>
    </w:p>
  </w:footnote>
  <w:footnote w:type="continuationSeparator" w:id="0">
    <w:p w:rsidR="00ED04B6" w:rsidRDefault="00ED0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8AC" w:rsidRDefault="000A4D74">
    <w:pPr>
      <w:pStyle w:val="Epgrafe"/>
      <w:rPr>
        <w:lang w:val="es-AR" w:eastAsia="es-AR"/>
      </w:rPr>
    </w:pPr>
    <w:r>
      <w:rPr>
        <w:noProof/>
        <w:lang w:val="es-AR" w:eastAsia="es-AR"/>
      </w:rPr>
      <w:drawing>
        <wp:anchor distT="0" distB="0" distL="114935" distR="114935" simplePos="0" relativeHeight="7" behindDoc="1" locked="0" layoutInCell="0" allowOverlap="1">
          <wp:simplePos x="0" y="0"/>
          <wp:positionH relativeFrom="column">
            <wp:posOffset>2303780</wp:posOffset>
          </wp:positionH>
          <wp:positionV relativeFrom="paragraph">
            <wp:posOffset>7620</wp:posOffset>
          </wp:positionV>
          <wp:extent cx="1120140" cy="1150620"/>
          <wp:effectExtent l="0" t="0" r="0" b="0"/>
          <wp:wrapTopAndBottom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7" t="-75" r="-77" b="-75"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1150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18AC" w:rsidRDefault="007B18AC">
    <w:pPr>
      <w:pStyle w:val="Epgrafe"/>
    </w:pPr>
  </w:p>
  <w:p w:rsidR="007B18AC" w:rsidRDefault="007B18AC">
    <w:pPr>
      <w:pStyle w:val="Epgrafe"/>
    </w:pPr>
  </w:p>
  <w:p w:rsidR="007B18AC" w:rsidRDefault="007B18AC">
    <w:pPr>
      <w:pStyle w:val="Epgrafe"/>
    </w:pPr>
  </w:p>
  <w:p w:rsidR="007B18AC" w:rsidRDefault="007B18AC">
    <w:pPr>
      <w:pStyle w:val="Epgrafe"/>
    </w:pPr>
  </w:p>
  <w:p w:rsidR="007B18AC" w:rsidRDefault="007B18AC">
    <w:pPr>
      <w:pStyle w:val="Epgrafe"/>
    </w:pPr>
  </w:p>
  <w:p w:rsidR="007B18AC" w:rsidRDefault="007B18AC">
    <w:pPr>
      <w:pStyle w:val="Epgrafe"/>
    </w:pPr>
  </w:p>
  <w:p w:rsidR="007B18AC" w:rsidRDefault="000A4D74">
    <w:pPr>
      <w:pStyle w:val="Epgrafe"/>
    </w:pPr>
    <w:r>
      <w:t>CAMARA DEL COMERCIO AUTOMOTOR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AC"/>
    <w:rsid w:val="000A4D74"/>
    <w:rsid w:val="004F6230"/>
    <w:rsid w:val="006E07E9"/>
    <w:rsid w:val="007B18AC"/>
    <w:rsid w:val="00D92F76"/>
    <w:rsid w:val="00ED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4C"/>
    <w:rPr>
      <w:rFonts w:ascii="Times New Roman" w:eastAsia="Times New Roman" w:hAnsi="Times New Roman" w:cs="Times New Roman"/>
      <w:szCs w:val="20"/>
      <w:lang w:val="es-ES_tradn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sid w:val="006E524C"/>
  </w:style>
  <w:style w:type="character" w:customStyle="1" w:styleId="WW8Num2z0">
    <w:name w:val="WW8Num2z0"/>
    <w:qFormat/>
    <w:rsid w:val="006E524C"/>
  </w:style>
  <w:style w:type="character" w:customStyle="1" w:styleId="WW8Num3z0">
    <w:name w:val="WW8Num3z0"/>
    <w:qFormat/>
    <w:rsid w:val="006E524C"/>
    <w:rPr>
      <w:b/>
    </w:rPr>
  </w:style>
  <w:style w:type="character" w:customStyle="1" w:styleId="WW8Num4z0">
    <w:name w:val="WW8Num4z0"/>
    <w:qFormat/>
    <w:rsid w:val="006E524C"/>
    <w:rPr>
      <w:b/>
      <w:i w:val="0"/>
      <w:u w:val="none"/>
    </w:rPr>
  </w:style>
  <w:style w:type="character" w:customStyle="1" w:styleId="WW8Num5z0">
    <w:name w:val="WW8Num5z0"/>
    <w:qFormat/>
    <w:rsid w:val="006E524C"/>
  </w:style>
  <w:style w:type="character" w:customStyle="1" w:styleId="WW8Num6z0">
    <w:name w:val="WW8Num6z0"/>
    <w:qFormat/>
    <w:rsid w:val="006E524C"/>
    <w:rPr>
      <w:rFonts w:ascii="Symbol" w:hAnsi="Symbol" w:cs="Symbol"/>
    </w:rPr>
  </w:style>
  <w:style w:type="character" w:customStyle="1" w:styleId="WW8Num7z0">
    <w:name w:val="WW8Num7z0"/>
    <w:qFormat/>
    <w:rsid w:val="006E524C"/>
  </w:style>
  <w:style w:type="character" w:customStyle="1" w:styleId="WW8Num8z0">
    <w:name w:val="WW8Num8z0"/>
    <w:qFormat/>
    <w:rsid w:val="006E524C"/>
  </w:style>
  <w:style w:type="character" w:customStyle="1" w:styleId="WW8NumSt6z0">
    <w:name w:val="WW8NumSt6z0"/>
    <w:qFormat/>
    <w:rsid w:val="006E524C"/>
    <w:rPr>
      <w:rFonts w:ascii="Symbol" w:hAnsi="Symbol" w:cs="Symbol"/>
    </w:rPr>
  </w:style>
  <w:style w:type="character" w:customStyle="1" w:styleId="EnlacedeInternet">
    <w:name w:val="Enlace de Internet"/>
    <w:rsid w:val="006E524C"/>
    <w:rPr>
      <w:color w:val="0000FF"/>
      <w:u w:val="single"/>
    </w:rPr>
  </w:style>
  <w:style w:type="character" w:customStyle="1" w:styleId="Destacado">
    <w:name w:val="Destacado"/>
    <w:qFormat/>
    <w:rsid w:val="006E524C"/>
    <w:rPr>
      <w:i/>
    </w:rPr>
  </w:style>
  <w:style w:type="character" w:customStyle="1" w:styleId="Muydestacado">
    <w:name w:val="Muy destacado"/>
    <w:qFormat/>
    <w:rsid w:val="006E524C"/>
    <w:rPr>
      <w:b/>
    </w:rPr>
  </w:style>
  <w:style w:type="paragraph" w:styleId="Ttulo">
    <w:name w:val="Title"/>
    <w:basedOn w:val="Normal"/>
    <w:next w:val="Textoindependiente"/>
    <w:qFormat/>
    <w:rsid w:val="006E524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6E524C"/>
    <w:pPr>
      <w:jc w:val="both"/>
    </w:pPr>
  </w:style>
  <w:style w:type="paragraph" w:styleId="Lista">
    <w:name w:val="List"/>
    <w:basedOn w:val="Textoindependiente"/>
    <w:rsid w:val="006E524C"/>
    <w:rPr>
      <w:rFonts w:cs="Arial"/>
    </w:rPr>
  </w:style>
  <w:style w:type="paragraph" w:styleId="Epgrafe">
    <w:name w:val="caption"/>
    <w:basedOn w:val="Normal"/>
    <w:next w:val="Normal"/>
    <w:qFormat/>
    <w:rsid w:val="006E524C"/>
    <w:pPr>
      <w:jc w:val="center"/>
    </w:pPr>
    <w:rPr>
      <w:b/>
      <w:spacing w:val="40"/>
    </w:rPr>
  </w:style>
  <w:style w:type="paragraph" w:customStyle="1" w:styleId="ndice">
    <w:name w:val="Índice"/>
    <w:basedOn w:val="Normal"/>
    <w:qFormat/>
    <w:rsid w:val="006E524C"/>
    <w:pPr>
      <w:suppressLineNumbers/>
    </w:pPr>
    <w:rPr>
      <w:rFonts w:cs="Arial"/>
    </w:rPr>
  </w:style>
  <w:style w:type="paragraph" w:customStyle="1" w:styleId="Ttulo11">
    <w:name w:val="Título 11"/>
    <w:basedOn w:val="Normal"/>
    <w:next w:val="Normal"/>
    <w:qFormat/>
    <w:rsid w:val="006E524C"/>
    <w:pPr>
      <w:keepNext/>
      <w:outlineLvl w:val="0"/>
    </w:pPr>
    <w:rPr>
      <w:b/>
      <w:u w:val="single"/>
    </w:rPr>
  </w:style>
  <w:style w:type="paragraph" w:customStyle="1" w:styleId="Ttulo21">
    <w:name w:val="Título 21"/>
    <w:basedOn w:val="Normal"/>
    <w:next w:val="Normal"/>
    <w:qFormat/>
    <w:rsid w:val="006E524C"/>
    <w:pPr>
      <w:keepNext/>
      <w:outlineLvl w:val="1"/>
    </w:pPr>
  </w:style>
  <w:style w:type="paragraph" w:customStyle="1" w:styleId="Ttulo31">
    <w:name w:val="Título 31"/>
    <w:basedOn w:val="Normal"/>
    <w:next w:val="Normal"/>
    <w:qFormat/>
    <w:rsid w:val="006E524C"/>
    <w:pPr>
      <w:keepNext/>
      <w:jc w:val="right"/>
      <w:outlineLvl w:val="2"/>
    </w:pPr>
    <w:rPr>
      <w:sz w:val="28"/>
      <w:lang w:val="es-AR"/>
    </w:rPr>
  </w:style>
  <w:style w:type="paragraph" w:customStyle="1" w:styleId="Ttulo41">
    <w:name w:val="Título 41"/>
    <w:basedOn w:val="Normal"/>
    <w:next w:val="Normal"/>
    <w:qFormat/>
    <w:rsid w:val="006E524C"/>
    <w:pPr>
      <w:keepNext/>
      <w:outlineLvl w:val="3"/>
    </w:pPr>
    <w:rPr>
      <w:sz w:val="28"/>
    </w:rPr>
  </w:style>
  <w:style w:type="paragraph" w:customStyle="1" w:styleId="Ttulo51">
    <w:name w:val="Título 51"/>
    <w:basedOn w:val="Normal"/>
    <w:next w:val="Normal"/>
    <w:qFormat/>
    <w:rsid w:val="006E524C"/>
    <w:pPr>
      <w:keepNext/>
      <w:outlineLvl w:val="4"/>
    </w:pPr>
    <w:rPr>
      <w:b/>
      <w:sz w:val="28"/>
      <w:lang w:val="es-MX"/>
    </w:rPr>
  </w:style>
  <w:style w:type="paragraph" w:customStyle="1" w:styleId="Ttulo61">
    <w:name w:val="Título 61"/>
    <w:basedOn w:val="Normal"/>
    <w:next w:val="Normal"/>
    <w:qFormat/>
    <w:rsid w:val="006E524C"/>
    <w:pPr>
      <w:keepNext/>
      <w:outlineLvl w:val="5"/>
    </w:pPr>
    <w:rPr>
      <w:sz w:val="32"/>
      <w:lang w:val="es-MX"/>
    </w:rPr>
  </w:style>
  <w:style w:type="paragraph" w:customStyle="1" w:styleId="Ttulo71">
    <w:name w:val="Título 71"/>
    <w:basedOn w:val="Normal"/>
    <w:next w:val="Normal"/>
    <w:qFormat/>
    <w:rsid w:val="006E524C"/>
    <w:pPr>
      <w:keepNext/>
      <w:outlineLvl w:val="6"/>
    </w:pPr>
    <w:rPr>
      <w:sz w:val="28"/>
      <w:u w:val="single"/>
      <w:lang w:val="es-MX"/>
    </w:rPr>
  </w:style>
  <w:style w:type="paragraph" w:customStyle="1" w:styleId="Ttulo81">
    <w:name w:val="Título 81"/>
    <w:basedOn w:val="Normal"/>
    <w:next w:val="Normal"/>
    <w:qFormat/>
    <w:rsid w:val="006E524C"/>
    <w:pPr>
      <w:keepNext/>
      <w:outlineLvl w:val="7"/>
    </w:pPr>
    <w:rPr>
      <w:b/>
      <w:lang w:val="es-MX"/>
    </w:rPr>
  </w:style>
  <w:style w:type="paragraph" w:customStyle="1" w:styleId="Ttulo91">
    <w:name w:val="Título 91"/>
    <w:basedOn w:val="Normal"/>
    <w:next w:val="Normal"/>
    <w:qFormat/>
    <w:rsid w:val="006E524C"/>
    <w:pPr>
      <w:keepNext/>
      <w:outlineLvl w:val="8"/>
    </w:pPr>
    <w:rPr>
      <w:i/>
      <w:sz w:val="28"/>
      <w:lang w:val="es-MX"/>
    </w:rPr>
  </w:style>
  <w:style w:type="paragraph" w:customStyle="1" w:styleId="Epgrafe1">
    <w:name w:val="Epígrafe1"/>
    <w:basedOn w:val="Normal"/>
    <w:qFormat/>
    <w:rsid w:val="006E524C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rsid w:val="006E524C"/>
    <w:pPr>
      <w:suppressLineNumbers/>
      <w:tabs>
        <w:tab w:val="center" w:pos="4819"/>
        <w:tab w:val="right" w:pos="9638"/>
      </w:tabs>
    </w:pPr>
  </w:style>
  <w:style w:type="paragraph" w:customStyle="1" w:styleId="Encabezado1">
    <w:name w:val="Encabezado1"/>
    <w:basedOn w:val="Normal"/>
    <w:qFormat/>
    <w:rsid w:val="006E524C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qFormat/>
    <w:rsid w:val="006E524C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6E524C"/>
    <w:pPr>
      <w:ind w:left="1416" w:firstLine="708"/>
      <w:jc w:val="both"/>
    </w:pPr>
    <w:rPr>
      <w:sz w:val="28"/>
      <w:lang w:val="es-AR"/>
    </w:rPr>
  </w:style>
  <w:style w:type="paragraph" w:styleId="Textoindependiente2">
    <w:name w:val="Body Text 2"/>
    <w:basedOn w:val="Normal"/>
    <w:qFormat/>
    <w:rsid w:val="006E524C"/>
    <w:rPr>
      <w:sz w:val="28"/>
      <w:lang w:val="es-MX"/>
    </w:rPr>
  </w:style>
  <w:style w:type="paragraph" w:styleId="Textoindependiente3">
    <w:name w:val="Body Text 3"/>
    <w:basedOn w:val="Normal"/>
    <w:qFormat/>
    <w:rsid w:val="006E524C"/>
    <w:rPr>
      <w:b/>
      <w:lang w:val="es-MX"/>
    </w:rPr>
  </w:style>
  <w:style w:type="paragraph" w:styleId="NormalWeb">
    <w:name w:val="Normal (Web)"/>
    <w:basedOn w:val="Normal"/>
    <w:qFormat/>
    <w:rsid w:val="006E524C"/>
    <w:pPr>
      <w:spacing w:before="100" w:after="100"/>
    </w:pPr>
    <w:rPr>
      <w:szCs w:val="24"/>
      <w:lang w:val="es-ES"/>
    </w:rPr>
  </w:style>
  <w:style w:type="paragraph" w:customStyle="1" w:styleId="yiv8714062126m294091323008971570ydp9f750b63msonormal">
    <w:name w:val="yiv8714062126m_294091323008971570ydp9f750b63msonormal"/>
    <w:basedOn w:val="Normal"/>
    <w:qFormat/>
    <w:rsid w:val="006E524C"/>
    <w:pPr>
      <w:spacing w:before="100" w:after="100"/>
    </w:pPr>
    <w:rPr>
      <w:szCs w:val="24"/>
      <w:lang w:val="es-ES"/>
    </w:rPr>
  </w:style>
  <w:style w:type="paragraph" w:styleId="Encabezado">
    <w:name w:val="header"/>
    <w:basedOn w:val="Cabeceraypie"/>
  </w:style>
  <w:style w:type="paragraph" w:styleId="Piedepgina">
    <w:name w:val="footer"/>
    <w:basedOn w:val="Cabeceraypie"/>
  </w:style>
  <w:style w:type="numbering" w:customStyle="1" w:styleId="WW8Num1">
    <w:name w:val="WW8Num1"/>
    <w:qFormat/>
    <w:rsid w:val="006E524C"/>
  </w:style>
  <w:style w:type="numbering" w:customStyle="1" w:styleId="WW8Num2">
    <w:name w:val="WW8Num2"/>
    <w:qFormat/>
    <w:rsid w:val="006E524C"/>
  </w:style>
  <w:style w:type="numbering" w:customStyle="1" w:styleId="WW8Num3">
    <w:name w:val="WW8Num3"/>
    <w:qFormat/>
    <w:rsid w:val="006E524C"/>
  </w:style>
  <w:style w:type="numbering" w:customStyle="1" w:styleId="WW8Num4">
    <w:name w:val="WW8Num4"/>
    <w:qFormat/>
    <w:rsid w:val="006E524C"/>
  </w:style>
  <w:style w:type="numbering" w:customStyle="1" w:styleId="WW8Num5">
    <w:name w:val="WW8Num5"/>
    <w:qFormat/>
    <w:rsid w:val="006E524C"/>
  </w:style>
  <w:style w:type="numbering" w:customStyle="1" w:styleId="WW8Num6">
    <w:name w:val="WW8Num6"/>
    <w:qFormat/>
    <w:rsid w:val="006E524C"/>
  </w:style>
  <w:style w:type="numbering" w:customStyle="1" w:styleId="WW8Num7">
    <w:name w:val="WW8Num7"/>
    <w:qFormat/>
    <w:rsid w:val="006E524C"/>
  </w:style>
  <w:style w:type="numbering" w:customStyle="1" w:styleId="WW8Num8">
    <w:name w:val="WW8Num8"/>
    <w:qFormat/>
    <w:rsid w:val="006E5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4C"/>
    <w:rPr>
      <w:rFonts w:ascii="Times New Roman" w:eastAsia="Times New Roman" w:hAnsi="Times New Roman" w:cs="Times New Roman"/>
      <w:szCs w:val="20"/>
      <w:lang w:val="es-ES_tradn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sid w:val="006E524C"/>
  </w:style>
  <w:style w:type="character" w:customStyle="1" w:styleId="WW8Num2z0">
    <w:name w:val="WW8Num2z0"/>
    <w:qFormat/>
    <w:rsid w:val="006E524C"/>
  </w:style>
  <w:style w:type="character" w:customStyle="1" w:styleId="WW8Num3z0">
    <w:name w:val="WW8Num3z0"/>
    <w:qFormat/>
    <w:rsid w:val="006E524C"/>
    <w:rPr>
      <w:b/>
    </w:rPr>
  </w:style>
  <w:style w:type="character" w:customStyle="1" w:styleId="WW8Num4z0">
    <w:name w:val="WW8Num4z0"/>
    <w:qFormat/>
    <w:rsid w:val="006E524C"/>
    <w:rPr>
      <w:b/>
      <w:i w:val="0"/>
      <w:u w:val="none"/>
    </w:rPr>
  </w:style>
  <w:style w:type="character" w:customStyle="1" w:styleId="WW8Num5z0">
    <w:name w:val="WW8Num5z0"/>
    <w:qFormat/>
    <w:rsid w:val="006E524C"/>
  </w:style>
  <w:style w:type="character" w:customStyle="1" w:styleId="WW8Num6z0">
    <w:name w:val="WW8Num6z0"/>
    <w:qFormat/>
    <w:rsid w:val="006E524C"/>
    <w:rPr>
      <w:rFonts w:ascii="Symbol" w:hAnsi="Symbol" w:cs="Symbol"/>
    </w:rPr>
  </w:style>
  <w:style w:type="character" w:customStyle="1" w:styleId="WW8Num7z0">
    <w:name w:val="WW8Num7z0"/>
    <w:qFormat/>
    <w:rsid w:val="006E524C"/>
  </w:style>
  <w:style w:type="character" w:customStyle="1" w:styleId="WW8Num8z0">
    <w:name w:val="WW8Num8z0"/>
    <w:qFormat/>
    <w:rsid w:val="006E524C"/>
  </w:style>
  <w:style w:type="character" w:customStyle="1" w:styleId="WW8NumSt6z0">
    <w:name w:val="WW8NumSt6z0"/>
    <w:qFormat/>
    <w:rsid w:val="006E524C"/>
    <w:rPr>
      <w:rFonts w:ascii="Symbol" w:hAnsi="Symbol" w:cs="Symbol"/>
    </w:rPr>
  </w:style>
  <w:style w:type="character" w:customStyle="1" w:styleId="EnlacedeInternet">
    <w:name w:val="Enlace de Internet"/>
    <w:rsid w:val="006E524C"/>
    <w:rPr>
      <w:color w:val="0000FF"/>
      <w:u w:val="single"/>
    </w:rPr>
  </w:style>
  <w:style w:type="character" w:customStyle="1" w:styleId="Destacado">
    <w:name w:val="Destacado"/>
    <w:qFormat/>
    <w:rsid w:val="006E524C"/>
    <w:rPr>
      <w:i/>
    </w:rPr>
  </w:style>
  <w:style w:type="character" w:customStyle="1" w:styleId="Muydestacado">
    <w:name w:val="Muy destacado"/>
    <w:qFormat/>
    <w:rsid w:val="006E524C"/>
    <w:rPr>
      <w:b/>
    </w:rPr>
  </w:style>
  <w:style w:type="paragraph" w:styleId="Ttulo">
    <w:name w:val="Title"/>
    <w:basedOn w:val="Normal"/>
    <w:next w:val="Textoindependiente"/>
    <w:qFormat/>
    <w:rsid w:val="006E524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6E524C"/>
    <w:pPr>
      <w:jc w:val="both"/>
    </w:pPr>
  </w:style>
  <w:style w:type="paragraph" w:styleId="Lista">
    <w:name w:val="List"/>
    <w:basedOn w:val="Textoindependiente"/>
    <w:rsid w:val="006E524C"/>
    <w:rPr>
      <w:rFonts w:cs="Arial"/>
    </w:rPr>
  </w:style>
  <w:style w:type="paragraph" w:styleId="Epgrafe">
    <w:name w:val="caption"/>
    <w:basedOn w:val="Normal"/>
    <w:next w:val="Normal"/>
    <w:qFormat/>
    <w:rsid w:val="006E524C"/>
    <w:pPr>
      <w:jc w:val="center"/>
    </w:pPr>
    <w:rPr>
      <w:b/>
      <w:spacing w:val="40"/>
    </w:rPr>
  </w:style>
  <w:style w:type="paragraph" w:customStyle="1" w:styleId="ndice">
    <w:name w:val="Índice"/>
    <w:basedOn w:val="Normal"/>
    <w:qFormat/>
    <w:rsid w:val="006E524C"/>
    <w:pPr>
      <w:suppressLineNumbers/>
    </w:pPr>
    <w:rPr>
      <w:rFonts w:cs="Arial"/>
    </w:rPr>
  </w:style>
  <w:style w:type="paragraph" w:customStyle="1" w:styleId="Ttulo11">
    <w:name w:val="Título 11"/>
    <w:basedOn w:val="Normal"/>
    <w:next w:val="Normal"/>
    <w:qFormat/>
    <w:rsid w:val="006E524C"/>
    <w:pPr>
      <w:keepNext/>
      <w:outlineLvl w:val="0"/>
    </w:pPr>
    <w:rPr>
      <w:b/>
      <w:u w:val="single"/>
    </w:rPr>
  </w:style>
  <w:style w:type="paragraph" w:customStyle="1" w:styleId="Ttulo21">
    <w:name w:val="Título 21"/>
    <w:basedOn w:val="Normal"/>
    <w:next w:val="Normal"/>
    <w:qFormat/>
    <w:rsid w:val="006E524C"/>
    <w:pPr>
      <w:keepNext/>
      <w:outlineLvl w:val="1"/>
    </w:pPr>
  </w:style>
  <w:style w:type="paragraph" w:customStyle="1" w:styleId="Ttulo31">
    <w:name w:val="Título 31"/>
    <w:basedOn w:val="Normal"/>
    <w:next w:val="Normal"/>
    <w:qFormat/>
    <w:rsid w:val="006E524C"/>
    <w:pPr>
      <w:keepNext/>
      <w:jc w:val="right"/>
      <w:outlineLvl w:val="2"/>
    </w:pPr>
    <w:rPr>
      <w:sz w:val="28"/>
      <w:lang w:val="es-AR"/>
    </w:rPr>
  </w:style>
  <w:style w:type="paragraph" w:customStyle="1" w:styleId="Ttulo41">
    <w:name w:val="Título 41"/>
    <w:basedOn w:val="Normal"/>
    <w:next w:val="Normal"/>
    <w:qFormat/>
    <w:rsid w:val="006E524C"/>
    <w:pPr>
      <w:keepNext/>
      <w:outlineLvl w:val="3"/>
    </w:pPr>
    <w:rPr>
      <w:sz w:val="28"/>
    </w:rPr>
  </w:style>
  <w:style w:type="paragraph" w:customStyle="1" w:styleId="Ttulo51">
    <w:name w:val="Título 51"/>
    <w:basedOn w:val="Normal"/>
    <w:next w:val="Normal"/>
    <w:qFormat/>
    <w:rsid w:val="006E524C"/>
    <w:pPr>
      <w:keepNext/>
      <w:outlineLvl w:val="4"/>
    </w:pPr>
    <w:rPr>
      <w:b/>
      <w:sz w:val="28"/>
      <w:lang w:val="es-MX"/>
    </w:rPr>
  </w:style>
  <w:style w:type="paragraph" w:customStyle="1" w:styleId="Ttulo61">
    <w:name w:val="Título 61"/>
    <w:basedOn w:val="Normal"/>
    <w:next w:val="Normal"/>
    <w:qFormat/>
    <w:rsid w:val="006E524C"/>
    <w:pPr>
      <w:keepNext/>
      <w:outlineLvl w:val="5"/>
    </w:pPr>
    <w:rPr>
      <w:sz w:val="32"/>
      <w:lang w:val="es-MX"/>
    </w:rPr>
  </w:style>
  <w:style w:type="paragraph" w:customStyle="1" w:styleId="Ttulo71">
    <w:name w:val="Título 71"/>
    <w:basedOn w:val="Normal"/>
    <w:next w:val="Normal"/>
    <w:qFormat/>
    <w:rsid w:val="006E524C"/>
    <w:pPr>
      <w:keepNext/>
      <w:outlineLvl w:val="6"/>
    </w:pPr>
    <w:rPr>
      <w:sz w:val="28"/>
      <w:u w:val="single"/>
      <w:lang w:val="es-MX"/>
    </w:rPr>
  </w:style>
  <w:style w:type="paragraph" w:customStyle="1" w:styleId="Ttulo81">
    <w:name w:val="Título 81"/>
    <w:basedOn w:val="Normal"/>
    <w:next w:val="Normal"/>
    <w:qFormat/>
    <w:rsid w:val="006E524C"/>
    <w:pPr>
      <w:keepNext/>
      <w:outlineLvl w:val="7"/>
    </w:pPr>
    <w:rPr>
      <w:b/>
      <w:lang w:val="es-MX"/>
    </w:rPr>
  </w:style>
  <w:style w:type="paragraph" w:customStyle="1" w:styleId="Ttulo91">
    <w:name w:val="Título 91"/>
    <w:basedOn w:val="Normal"/>
    <w:next w:val="Normal"/>
    <w:qFormat/>
    <w:rsid w:val="006E524C"/>
    <w:pPr>
      <w:keepNext/>
      <w:outlineLvl w:val="8"/>
    </w:pPr>
    <w:rPr>
      <w:i/>
      <w:sz w:val="28"/>
      <w:lang w:val="es-MX"/>
    </w:rPr>
  </w:style>
  <w:style w:type="paragraph" w:customStyle="1" w:styleId="Epgrafe1">
    <w:name w:val="Epígrafe1"/>
    <w:basedOn w:val="Normal"/>
    <w:qFormat/>
    <w:rsid w:val="006E524C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rsid w:val="006E524C"/>
    <w:pPr>
      <w:suppressLineNumbers/>
      <w:tabs>
        <w:tab w:val="center" w:pos="4819"/>
        <w:tab w:val="right" w:pos="9638"/>
      </w:tabs>
    </w:pPr>
  </w:style>
  <w:style w:type="paragraph" w:customStyle="1" w:styleId="Encabezado1">
    <w:name w:val="Encabezado1"/>
    <w:basedOn w:val="Normal"/>
    <w:qFormat/>
    <w:rsid w:val="006E524C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qFormat/>
    <w:rsid w:val="006E524C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6E524C"/>
    <w:pPr>
      <w:ind w:left="1416" w:firstLine="708"/>
      <w:jc w:val="both"/>
    </w:pPr>
    <w:rPr>
      <w:sz w:val="28"/>
      <w:lang w:val="es-AR"/>
    </w:rPr>
  </w:style>
  <w:style w:type="paragraph" w:styleId="Textoindependiente2">
    <w:name w:val="Body Text 2"/>
    <w:basedOn w:val="Normal"/>
    <w:qFormat/>
    <w:rsid w:val="006E524C"/>
    <w:rPr>
      <w:sz w:val="28"/>
      <w:lang w:val="es-MX"/>
    </w:rPr>
  </w:style>
  <w:style w:type="paragraph" w:styleId="Textoindependiente3">
    <w:name w:val="Body Text 3"/>
    <w:basedOn w:val="Normal"/>
    <w:qFormat/>
    <w:rsid w:val="006E524C"/>
    <w:rPr>
      <w:b/>
      <w:lang w:val="es-MX"/>
    </w:rPr>
  </w:style>
  <w:style w:type="paragraph" w:styleId="NormalWeb">
    <w:name w:val="Normal (Web)"/>
    <w:basedOn w:val="Normal"/>
    <w:qFormat/>
    <w:rsid w:val="006E524C"/>
    <w:pPr>
      <w:spacing w:before="100" w:after="100"/>
    </w:pPr>
    <w:rPr>
      <w:szCs w:val="24"/>
      <w:lang w:val="es-ES"/>
    </w:rPr>
  </w:style>
  <w:style w:type="paragraph" w:customStyle="1" w:styleId="yiv8714062126m294091323008971570ydp9f750b63msonormal">
    <w:name w:val="yiv8714062126m_294091323008971570ydp9f750b63msonormal"/>
    <w:basedOn w:val="Normal"/>
    <w:qFormat/>
    <w:rsid w:val="006E524C"/>
    <w:pPr>
      <w:spacing w:before="100" w:after="100"/>
    </w:pPr>
    <w:rPr>
      <w:szCs w:val="24"/>
      <w:lang w:val="es-ES"/>
    </w:rPr>
  </w:style>
  <w:style w:type="paragraph" w:styleId="Encabezado">
    <w:name w:val="header"/>
    <w:basedOn w:val="Cabeceraypie"/>
  </w:style>
  <w:style w:type="paragraph" w:styleId="Piedepgina">
    <w:name w:val="footer"/>
    <w:basedOn w:val="Cabeceraypie"/>
  </w:style>
  <w:style w:type="numbering" w:customStyle="1" w:styleId="WW8Num1">
    <w:name w:val="WW8Num1"/>
    <w:qFormat/>
    <w:rsid w:val="006E524C"/>
  </w:style>
  <w:style w:type="numbering" w:customStyle="1" w:styleId="WW8Num2">
    <w:name w:val="WW8Num2"/>
    <w:qFormat/>
    <w:rsid w:val="006E524C"/>
  </w:style>
  <w:style w:type="numbering" w:customStyle="1" w:styleId="WW8Num3">
    <w:name w:val="WW8Num3"/>
    <w:qFormat/>
    <w:rsid w:val="006E524C"/>
  </w:style>
  <w:style w:type="numbering" w:customStyle="1" w:styleId="WW8Num4">
    <w:name w:val="WW8Num4"/>
    <w:qFormat/>
    <w:rsid w:val="006E524C"/>
  </w:style>
  <w:style w:type="numbering" w:customStyle="1" w:styleId="WW8Num5">
    <w:name w:val="WW8Num5"/>
    <w:qFormat/>
    <w:rsid w:val="006E524C"/>
  </w:style>
  <w:style w:type="numbering" w:customStyle="1" w:styleId="WW8Num6">
    <w:name w:val="WW8Num6"/>
    <w:qFormat/>
    <w:rsid w:val="006E524C"/>
  </w:style>
  <w:style w:type="numbering" w:customStyle="1" w:styleId="WW8Num7">
    <w:name w:val="WW8Num7"/>
    <w:qFormat/>
    <w:rsid w:val="006E524C"/>
  </w:style>
  <w:style w:type="numbering" w:customStyle="1" w:styleId="WW8Num8">
    <w:name w:val="WW8Num8"/>
    <w:qFormat/>
    <w:rsid w:val="006E5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CAA</dc:creator>
  <cp:lastModifiedBy>Roberto</cp:lastModifiedBy>
  <cp:revision>2</cp:revision>
  <dcterms:created xsi:type="dcterms:W3CDTF">2023-11-08T14:55:00Z</dcterms:created>
  <dcterms:modified xsi:type="dcterms:W3CDTF">2023-11-08T14:55:00Z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