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FB" w:rsidRDefault="005B5FFB">
      <w:pPr>
        <w:rPr>
          <w:lang w:val="es-MX"/>
        </w:rPr>
      </w:pPr>
    </w:p>
    <w:p w:rsidR="005B5FFB" w:rsidRDefault="005B5FFB">
      <w:pPr>
        <w:rPr>
          <w:b/>
          <w:bCs/>
          <w:sz w:val="52"/>
          <w:szCs w:val="52"/>
        </w:rPr>
      </w:pPr>
    </w:p>
    <w:p w:rsidR="005B5FFB" w:rsidRDefault="00EE7B35">
      <w:pPr>
        <w:rPr>
          <w:b/>
          <w:bCs/>
          <w:sz w:val="52"/>
          <w:szCs w:val="52"/>
        </w:rPr>
      </w:pPr>
      <w:r>
        <w:rPr>
          <w:b/>
          <w:bCs/>
          <w:sz w:val="52"/>
          <w:szCs w:val="52"/>
        </w:rPr>
        <w:t>INFORMACION DE PRENSA</w:t>
      </w:r>
    </w:p>
    <w:p w:rsidR="005B5FFB" w:rsidRDefault="005B5FFB">
      <w:pPr>
        <w:rPr>
          <w:b/>
          <w:sz w:val="36"/>
          <w:szCs w:val="36"/>
        </w:rPr>
      </w:pPr>
    </w:p>
    <w:p w:rsidR="004438A9" w:rsidRDefault="004438A9">
      <w:pPr>
        <w:rPr>
          <w:b/>
          <w:sz w:val="36"/>
          <w:szCs w:val="36"/>
          <w:u w:val="single"/>
        </w:rPr>
      </w:pPr>
    </w:p>
    <w:p w:rsidR="004438A9" w:rsidRPr="00544C4B" w:rsidRDefault="004438A9">
      <w:pPr>
        <w:rPr>
          <w:b/>
          <w:sz w:val="52"/>
          <w:szCs w:val="52"/>
          <w:u w:val="single"/>
        </w:rPr>
      </w:pPr>
      <w:r w:rsidRPr="00544C4B">
        <w:rPr>
          <w:b/>
          <w:sz w:val="52"/>
          <w:szCs w:val="52"/>
          <w:u w:val="single"/>
        </w:rPr>
        <w:t xml:space="preserve">EN </w:t>
      </w:r>
      <w:r w:rsidR="004E54CB" w:rsidRPr="00544C4B">
        <w:rPr>
          <w:b/>
          <w:sz w:val="52"/>
          <w:szCs w:val="52"/>
          <w:u w:val="single"/>
        </w:rPr>
        <w:t>MARZO</w:t>
      </w:r>
      <w:r w:rsidRPr="00544C4B">
        <w:rPr>
          <w:b/>
          <w:sz w:val="52"/>
          <w:szCs w:val="52"/>
          <w:u w:val="single"/>
        </w:rPr>
        <w:t xml:space="preserve"> SE VENDIERON </w:t>
      </w:r>
      <w:r w:rsidR="00544C4B" w:rsidRPr="00544C4B">
        <w:rPr>
          <w:b/>
          <w:sz w:val="52"/>
          <w:szCs w:val="52"/>
          <w:u w:val="single"/>
        </w:rPr>
        <w:t xml:space="preserve">146.826 </w:t>
      </w:r>
      <w:r w:rsidR="00B05960" w:rsidRPr="00544C4B">
        <w:rPr>
          <w:b/>
          <w:sz w:val="52"/>
          <w:szCs w:val="52"/>
          <w:u w:val="single"/>
        </w:rPr>
        <w:t xml:space="preserve">AUTOS </w:t>
      </w:r>
      <w:r w:rsidRPr="00544C4B">
        <w:rPr>
          <w:b/>
          <w:sz w:val="52"/>
          <w:szCs w:val="52"/>
          <w:u w:val="single"/>
        </w:rPr>
        <w:t>USADOS</w:t>
      </w:r>
    </w:p>
    <w:p w:rsidR="004438A9" w:rsidRPr="00544C4B" w:rsidRDefault="004438A9">
      <w:pPr>
        <w:rPr>
          <w:b/>
          <w:sz w:val="52"/>
          <w:szCs w:val="52"/>
          <w:u w:val="single"/>
        </w:rPr>
      </w:pPr>
    </w:p>
    <w:p w:rsidR="00816256" w:rsidRPr="00544C4B" w:rsidRDefault="004E54CB">
      <w:pPr>
        <w:rPr>
          <w:b/>
          <w:sz w:val="52"/>
          <w:szCs w:val="52"/>
          <w:u w:val="single"/>
        </w:rPr>
      </w:pPr>
      <w:r w:rsidRPr="00544C4B">
        <w:rPr>
          <w:b/>
          <w:sz w:val="52"/>
          <w:szCs w:val="52"/>
          <w:u w:val="single"/>
        </w:rPr>
        <w:t xml:space="preserve">EN LOS 3 </w:t>
      </w:r>
      <w:r w:rsidR="00816256" w:rsidRPr="00544C4B">
        <w:rPr>
          <w:b/>
          <w:sz w:val="52"/>
          <w:szCs w:val="52"/>
          <w:u w:val="single"/>
        </w:rPr>
        <w:t>PRIMEROS MESES DE</w:t>
      </w:r>
      <w:r w:rsidR="00544C4B" w:rsidRPr="00544C4B">
        <w:rPr>
          <w:b/>
          <w:sz w:val="52"/>
          <w:szCs w:val="52"/>
          <w:u w:val="single"/>
        </w:rPr>
        <w:t>L AÑO SE COMERCIALIZARON 391.483</w:t>
      </w:r>
      <w:r w:rsidR="00816256" w:rsidRPr="00544C4B">
        <w:rPr>
          <w:b/>
          <w:sz w:val="52"/>
          <w:szCs w:val="52"/>
          <w:u w:val="single"/>
        </w:rPr>
        <w:t xml:space="preserve"> UNIDADES</w:t>
      </w:r>
    </w:p>
    <w:p w:rsidR="00816256" w:rsidRDefault="00816256">
      <w:pPr>
        <w:rPr>
          <w:sz w:val="40"/>
          <w:szCs w:val="40"/>
        </w:rPr>
      </w:pPr>
    </w:p>
    <w:p w:rsidR="00816256" w:rsidRDefault="00816256">
      <w:pPr>
        <w:rPr>
          <w:sz w:val="40"/>
          <w:szCs w:val="40"/>
        </w:rPr>
      </w:pPr>
    </w:p>
    <w:p w:rsidR="005B5FFB" w:rsidRDefault="00EE7B35">
      <w:pPr>
        <w:rPr>
          <w:sz w:val="40"/>
          <w:szCs w:val="40"/>
        </w:rPr>
      </w:pPr>
      <w:r>
        <w:rPr>
          <w:sz w:val="40"/>
          <w:szCs w:val="40"/>
        </w:rPr>
        <w:t>La Cámara del Comercio Automotor (CCA) inf</w:t>
      </w:r>
      <w:r w:rsidR="00576146">
        <w:rPr>
          <w:sz w:val="40"/>
          <w:szCs w:val="40"/>
        </w:rPr>
        <w:t xml:space="preserve">ormó que en el mes de </w:t>
      </w:r>
      <w:r w:rsidR="000C3EEA">
        <w:rPr>
          <w:sz w:val="40"/>
          <w:szCs w:val="40"/>
        </w:rPr>
        <w:t>marzo</w:t>
      </w:r>
      <w:r w:rsidR="00B05960">
        <w:rPr>
          <w:sz w:val="40"/>
          <w:szCs w:val="40"/>
        </w:rPr>
        <w:t xml:space="preserve"> </w:t>
      </w:r>
      <w:r>
        <w:rPr>
          <w:sz w:val="40"/>
          <w:szCs w:val="40"/>
        </w:rPr>
        <w:t xml:space="preserve">se comercializó en Argentina </w:t>
      </w:r>
      <w:r w:rsidR="000C3EEA">
        <w:rPr>
          <w:sz w:val="40"/>
          <w:szCs w:val="40"/>
        </w:rPr>
        <w:t>146.826</w:t>
      </w:r>
      <w:r w:rsidR="00576146">
        <w:rPr>
          <w:sz w:val="40"/>
          <w:szCs w:val="40"/>
        </w:rPr>
        <w:t xml:space="preserve"> </w:t>
      </w:r>
      <w:r>
        <w:rPr>
          <w:sz w:val="40"/>
          <w:szCs w:val="40"/>
        </w:rPr>
        <w:t>vehí</w:t>
      </w:r>
      <w:r w:rsidR="00576146">
        <w:rPr>
          <w:sz w:val="40"/>
          <w:szCs w:val="40"/>
        </w:rPr>
        <w:t>culos usados,</w:t>
      </w:r>
      <w:r w:rsidR="000C3EEA">
        <w:rPr>
          <w:sz w:val="40"/>
          <w:szCs w:val="40"/>
        </w:rPr>
        <w:t xml:space="preserve"> una suba del 4,69</w:t>
      </w:r>
      <w:r>
        <w:rPr>
          <w:sz w:val="40"/>
          <w:szCs w:val="40"/>
        </w:rPr>
        <w:t>% comparad</w:t>
      </w:r>
      <w:r w:rsidR="00B05960">
        <w:rPr>
          <w:sz w:val="40"/>
          <w:szCs w:val="40"/>
        </w:rPr>
        <w:t>o</w:t>
      </w:r>
      <w:r w:rsidR="000C3EEA">
        <w:rPr>
          <w:sz w:val="40"/>
          <w:szCs w:val="40"/>
        </w:rPr>
        <w:t xml:space="preserve"> con igual mes de 2022 (140.248</w:t>
      </w:r>
      <w:r w:rsidR="00816256">
        <w:rPr>
          <w:sz w:val="40"/>
          <w:szCs w:val="40"/>
        </w:rPr>
        <w:t xml:space="preserve"> </w:t>
      </w:r>
      <w:r>
        <w:rPr>
          <w:sz w:val="40"/>
          <w:szCs w:val="40"/>
        </w:rPr>
        <w:t>unidades).</w:t>
      </w:r>
    </w:p>
    <w:p w:rsidR="005B5FFB" w:rsidRDefault="005B5FFB">
      <w:pPr>
        <w:rPr>
          <w:sz w:val="40"/>
          <w:szCs w:val="40"/>
        </w:rPr>
      </w:pPr>
    </w:p>
    <w:p w:rsidR="005B5FFB" w:rsidRDefault="00576146">
      <w:pPr>
        <w:rPr>
          <w:sz w:val="40"/>
          <w:szCs w:val="40"/>
        </w:rPr>
      </w:pPr>
      <w:r>
        <w:rPr>
          <w:sz w:val="40"/>
          <w:szCs w:val="40"/>
        </w:rPr>
        <w:t xml:space="preserve">Si lo comparamos con </w:t>
      </w:r>
      <w:r w:rsidR="000C3EEA">
        <w:rPr>
          <w:sz w:val="40"/>
          <w:szCs w:val="40"/>
        </w:rPr>
        <w:t xml:space="preserve">febrero </w:t>
      </w:r>
      <w:r w:rsidR="00B05960">
        <w:rPr>
          <w:sz w:val="40"/>
          <w:szCs w:val="40"/>
        </w:rPr>
        <w:t xml:space="preserve">de </w:t>
      </w:r>
      <w:r w:rsidR="00816256">
        <w:rPr>
          <w:sz w:val="40"/>
          <w:szCs w:val="40"/>
        </w:rPr>
        <w:t>2023</w:t>
      </w:r>
      <w:r w:rsidR="00963F00">
        <w:rPr>
          <w:sz w:val="40"/>
          <w:szCs w:val="40"/>
        </w:rPr>
        <w:t xml:space="preserve"> (</w:t>
      </w:r>
      <w:r w:rsidR="000C3EEA">
        <w:rPr>
          <w:sz w:val="40"/>
          <w:szCs w:val="40"/>
        </w:rPr>
        <w:t xml:space="preserve">111.584 </w:t>
      </w:r>
      <w:r w:rsidR="00963F00">
        <w:rPr>
          <w:sz w:val="40"/>
          <w:szCs w:val="40"/>
        </w:rPr>
        <w:t>v</w:t>
      </w:r>
      <w:r w:rsidR="00B05960">
        <w:rPr>
          <w:sz w:val="40"/>
          <w:szCs w:val="40"/>
        </w:rPr>
        <w:t xml:space="preserve">ehículos), </w:t>
      </w:r>
      <w:r w:rsidR="00816256">
        <w:rPr>
          <w:sz w:val="40"/>
          <w:szCs w:val="40"/>
        </w:rPr>
        <w:t xml:space="preserve">la </w:t>
      </w:r>
      <w:r w:rsidR="000C3EEA">
        <w:rPr>
          <w:sz w:val="40"/>
          <w:szCs w:val="40"/>
        </w:rPr>
        <w:t>suba llega al 31,58</w:t>
      </w:r>
      <w:r w:rsidR="00B05960">
        <w:rPr>
          <w:sz w:val="40"/>
          <w:szCs w:val="40"/>
        </w:rPr>
        <w:t>%</w:t>
      </w:r>
      <w:r w:rsidR="00EE7B35">
        <w:rPr>
          <w:sz w:val="40"/>
          <w:szCs w:val="40"/>
        </w:rPr>
        <w:t xml:space="preserve">.   </w:t>
      </w:r>
    </w:p>
    <w:p w:rsidR="005B5FFB" w:rsidRDefault="005B5FFB">
      <w:pPr>
        <w:rPr>
          <w:sz w:val="40"/>
          <w:szCs w:val="40"/>
        </w:rPr>
      </w:pPr>
    </w:p>
    <w:p w:rsidR="00816256" w:rsidRDefault="00816256">
      <w:pPr>
        <w:rPr>
          <w:sz w:val="40"/>
          <w:szCs w:val="40"/>
        </w:rPr>
      </w:pPr>
    </w:p>
    <w:p w:rsidR="00816256" w:rsidRDefault="00816256">
      <w:pPr>
        <w:rPr>
          <w:sz w:val="40"/>
          <w:szCs w:val="40"/>
        </w:rPr>
      </w:pPr>
    </w:p>
    <w:p w:rsidR="005B5FFB" w:rsidRDefault="000C3EEA">
      <w:pPr>
        <w:rPr>
          <w:sz w:val="40"/>
          <w:szCs w:val="40"/>
        </w:rPr>
      </w:pPr>
      <w:r>
        <w:rPr>
          <w:sz w:val="40"/>
          <w:szCs w:val="40"/>
        </w:rPr>
        <w:t>En los tres</w:t>
      </w:r>
      <w:r w:rsidR="00816256">
        <w:rPr>
          <w:sz w:val="40"/>
          <w:szCs w:val="40"/>
        </w:rPr>
        <w:t xml:space="preserve"> primeros mes</w:t>
      </w:r>
      <w:r>
        <w:rPr>
          <w:sz w:val="40"/>
          <w:szCs w:val="40"/>
        </w:rPr>
        <w:t xml:space="preserve">es del año se vendieron </w:t>
      </w:r>
      <w:r w:rsidR="00544C4B">
        <w:rPr>
          <w:sz w:val="40"/>
          <w:szCs w:val="40"/>
        </w:rPr>
        <w:t>391.483</w:t>
      </w:r>
      <w:r>
        <w:rPr>
          <w:sz w:val="40"/>
          <w:szCs w:val="40"/>
        </w:rPr>
        <w:t xml:space="preserve"> </w:t>
      </w:r>
      <w:r w:rsidR="00816256">
        <w:rPr>
          <w:sz w:val="40"/>
          <w:szCs w:val="40"/>
        </w:rPr>
        <w:t xml:space="preserve">vehículos usados, una </w:t>
      </w:r>
      <w:r>
        <w:rPr>
          <w:sz w:val="40"/>
          <w:szCs w:val="40"/>
        </w:rPr>
        <w:t xml:space="preserve">suba del </w:t>
      </w:r>
      <w:r w:rsidR="00544C4B">
        <w:rPr>
          <w:sz w:val="40"/>
          <w:szCs w:val="40"/>
        </w:rPr>
        <w:t>3,11</w:t>
      </w:r>
      <w:r w:rsidR="00816256">
        <w:rPr>
          <w:sz w:val="40"/>
          <w:szCs w:val="40"/>
        </w:rPr>
        <w:t xml:space="preserve">% con respecto </w:t>
      </w:r>
      <w:r w:rsidR="00544C4B">
        <w:rPr>
          <w:sz w:val="40"/>
          <w:szCs w:val="40"/>
        </w:rPr>
        <w:t>a igual período de 2022 (379.659</w:t>
      </w:r>
      <w:r w:rsidR="00816256">
        <w:rPr>
          <w:sz w:val="40"/>
          <w:szCs w:val="40"/>
        </w:rPr>
        <w:t xml:space="preserve"> unidades).</w:t>
      </w:r>
    </w:p>
    <w:p w:rsidR="00816256" w:rsidRDefault="00816256">
      <w:pPr>
        <w:rPr>
          <w:sz w:val="40"/>
          <w:szCs w:val="40"/>
        </w:rPr>
      </w:pPr>
    </w:p>
    <w:p w:rsidR="00816256" w:rsidRDefault="00816256" w:rsidP="005347AD">
      <w:pPr>
        <w:rPr>
          <w:b/>
          <w:sz w:val="40"/>
          <w:szCs w:val="40"/>
        </w:rPr>
      </w:pPr>
    </w:p>
    <w:p w:rsidR="001D72B2" w:rsidRDefault="00E54606" w:rsidP="00921E91">
      <w:pPr>
        <w:rPr>
          <w:b/>
          <w:sz w:val="48"/>
          <w:szCs w:val="48"/>
          <w:u w:val="single"/>
        </w:rPr>
      </w:pPr>
      <w:r w:rsidRPr="007C2B87">
        <w:rPr>
          <w:b/>
          <w:sz w:val="48"/>
          <w:szCs w:val="48"/>
          <w:u w:val="single"/>
        </w:rPr>
        <w:t xml:space="preserve">DECLARACIONES </w:t>
      </w:r>
      <w:r w:rsidR="00921E91">
        <w:rPr>
          <w:b/>
          <w:sz w:val="48"/>
          <w:szCs w:val="48"/>
          <w:u w:val="single"/>
        </w:rPr>
        <w:t>ALBERTO PRÍNCIPE, PRESIDENTE DE LA CCA</w:t>
      </w:r>
    </w:p>
    <w:p w:rsidR="00921E91" w:rsidRDefault="00921E91" w:rsidP="00921E91">
      <w:pPr>
        <w:rPr>
          <w:b/>
          <w:sz w:val="48"/>
          <w:szCs w:val="48"/>
          <w:u w:val="single"/>
        </w:rPr>
      </w:pPr>
    </w:p>
    <w:p w:rsidR="00906A5C" w:rsidRDefault="00DF54CE" w:rsidP="00921E91">
      <w:pPr>
        <w:rPr>
          <w:sz w:val="40"/>
          <w:szCs w:val="40"/>
        </w:rPr>
      </w:pPr>
      <w:r>
        <w:rPr>
          <w:sz w:val="40"/>
          <w:szCs w:val="40"/>
        </w:rPr>
        <w:t>“</w:t>
      </w:r>
      <w:r w:rsidR="00921E91" w:rsidRPr="00921E91">
        <w:rPr>
          <w:sz w:val="40"/>
          <w:szCs w:val="40"/>
        </w:rPr>
        <w:t xml:space="preserve">Termino marzo </w:t>
      </w:r>
      <w:r w:rsidR="00544C4B">
        <w:rPr>
          <w:sz w:val="40"/>
          <w:szCs w:val="40"/>
        </w:rPr>
        <w:t xml:space="preserve">con un incremento importante en las ventas de autos usados. </w:t>
      </w:r>
      <w:r w:rsidR="004E54CB">
        <w:rPr>
          <w:sz w:val="40"/>
          <w:szCs w:val="40"/>
        </w:rPr>
        <w:t>Pero, c</w:t>
      </w:r>
      <w:r w:rsidR="00921E91" w:rsidRPr="00921E91">
        <w:rPr>
          <w:sz w:val="40"/>
          <w:szCs w:val="40"/>
        </w:rPr>
        <w:t>ontinuamos con los problemas de fondo que venimos sufriendo desde la pandemia, por ejemplo, problemas de logística, fabricación y falta de insumos, que no son sólo domésticos sino muchos de ellos mundiales. Esto sigue produciendo desabastecimiento de productos en nuestras empresas, fundamentalmente en nichos de mayor demanda</w:t>
      </w:r>
      <w:r w:rsidR="00906A5C">
        <w:rPr>
          <w:sz w:val="40"/>
          <w:szCs w:val="40"/>
        </w:rPr>
        <w:t>”,</w:t>
      </w:r>
      <w:r w:rsidR="00906A5C" w:rsidRPr="00906A5C">
        <w:rPr>
          <w:sz w:val="40"/>
          <w:szCs w:val="40"/>
        </w:rPr>
        <w:t xml:space="preserve"> dijo Alberto Príncipe, presidente de la CCA.</w:t>
      </w:r>
      <w:r w:rsidR="00906A5C">
        <w:rPr>
          <w:sz w:val="40"/>
          <w:szCs w:val="40"/>
        </w:rPr>
        <w:t xml:space="preserve"> </w:t>
      </w:r>
      <w:r w:rsidR="00921E91" w:rsidRPr="00921E91">
        <w:rPr>
          <w:sz w:val="40"/>
          <w:szCs w:val="40"/>
        </w:rPr>
        <w:t xml:space="preserve"> </w:t>
      </w:r>
      <w:r w:rsidR="00906A5C">
        <w:rPr>
          <w:sz w:val="40"/>
          <w:szCs w:val="40"/>
        </w:rPr>
        <w:t>“</w:t>
      </w:r>
      <w:r w:rsidR="00921E91" w:rsidRPr="00921E91">
        <w:rPr>
          <w:sz w:val="40"/>
          <w:szCs w:val="40"/>
        </w:rPr>
        <w:t xml:space="preserve">También, debemos señalar que la financiación que ofrece el mercado para la compra de un vehículo usado resulta prácticamente imposible para el bolsillo de los consumidores. Además, vemos que la retracción se instaló en los compradores debido a la incertidumbre que genera </w:t>
      </w:r>
    </w:p>
    <w:p w:rsidR="00906A5C" w:rsidRDefault="00906A5C" w:rsidP="00921E91">
      <w:pPr>
        <w:rPr>
          <w:sz w:val="40"/>
          <w:szCs w:val="40"/>
        </w:rPr>
      </w:pPr>
    </w:p>
    <w:p w:rsidR="00906A5C" w:rsidRDefault="00906A5C" w:rsidP="00921E91">
      <w:pPr>
        <w:rPr>
          <w:sz w:val="40"/>
          <w:szCs w:val="40"/>
        </w:rPr>
      </w:pPr>
    </w:p>
    <w:p w:rsidR="00906A5C" w:rsidRDefault="00921E91" w:rsidP="00921E91">
      <w:pPr>
        <w:rPr>
          <w:sz w:val="40"/>
          <w:szCs w:val="40"/>
        </w:rPr>
      </w:pPr>
      <w:proofErr w:type="gramStart"/>
      <w:r w:rsidRPr="00921E91">
        <w:rPr>
          <w:sz w:val="40"/>
          <w:szCs w:val="40"/>
        </w:rPr>
        <w:t>la</w:t>
      </w:r>
      <w:proofErr w:type="gramEnd"/>
      <w:r w:rsidRPr="00921E91">
        <w:rPr>
          <w:sz w:val="40"/>
          <w:szCs w:val="40"/>
        </w:rPr>
        <w:t xml:space="preserve"> economía de bolsillo en la gente</w:t>
      </w:r>
      <w:r w:rsidR="00906A5C">
        <w:rPr>
          <w:sz w:val="40"/>
          <w:szCs w:val="40"/>
        </w:rPr>
        <w:t>”, expresó el directivo</w:t>
      </w:r>
      <w:r w:rsidRPr="00921E91">
        <w:rPr>
          <w:sz w:val="40"/>
          <w:szCs w:val="40"/>
        </w:rPr>
        <w:t xml:space="preserve">. </w:t>
      </w:r>
      <w:r w:rsidR="00906A5C">
        <w:rPr>
          <w:sz w:val="40"/>
          <w:szCs w:val="40"/>
        </w:rPr>
        <w:t>“</w:t>
      </w:r>
      <w:r w:rsidRPr="00921E91">
        <w:rPr>
          <w:sz w:val="40"/>
          <w:szCs w:val="40"/>
        </w:rPr>
        <w:t xml:space="preserve">Durante el mes de marzo se realizó en San Nicolás, provincia de Buenos Aires, </w:t>
      </w:r>
      <w:proofErr w:type="spellStart"/>
      <w:r w:rsidRPr="00921E91">
        <w:rPr>
          <w:sz w:val="40"/>
          <w:szCs w:val="40"/>
        </w:rPr>
        <w:t>Expoagro</w:t>
      </w:r>
      <w:proofErr w:type="spellEnd"/>
      <w:r w:rsidRPr="00921E91">
        <w:rPr>
          <w:sz w:val="40"/>
          <w:szCs w:val="40"/>
        </w:rPr>
        <w:t xml:space="preserve"> 2023. Esta muestra fue visitada por más de 100.000 personas. La inversión que realizaron las diferentes empresas que asistieron fue muy importante. Y esto da la pauta que se sigue apostando al país. De la mano del campo y las economías regionales nuestro mercado tiene que volver a los volúmenes de venta tradicionales</w:t>
      </w:r>
      <w:r w:rsidR="00906A5C">
        <w:rPr>
          <w:sz w:val="40"/>
          <w:szCs w:val="40"/>
        </w:rPr>
        <w:t>”, mencionó Príncipe</w:t>
      </w:r>
      <w:r w:rsidRPr="00921E91">
        <w:rPr>
          <w:sz w:val="40"/>
          <w:szCs w:val="40"/>
        </w:rPr>
        <w:t xml:space="preserve">. </w:t>
      </w:r>
    </w:p>
    <w:p w:rsidR="00921E91" w:rsidRDefault="00906A5C" w:rsidP="00921E91">
      <w:pPr>
        <w:rPr>
          <w:sz w:val="40"/>
          <w:szCs w:val="40"/>
        </w:rPr>
      </w:pPr>
      <w:r>
        <w:rPr>
          <w:sz w:val="40"/>
          <w:szCs w:val="40"/>
        </w:rPr>
        <w:t>“</w:t>
      </w:r>
      <w:r w:rsidR="00921E91" w:rsidRPr="00921E91">
        <w:rPr>
          <w:sz w:val="40"/>
          <w:szCs w:val="40"/>
        </w:rPr>
        <w:t>Todos los sectores necesitan normalizarse y tener reglas claras hacia el futuro. Tendremos un año donde el país pasará por elecciones y sabemos lo que significa. Pero somos optimistas, pensando en el futuro</w:t>
      </w:r>
      <w:r>
        <w:rPr>
          <w:sz w:val="40"/>
          <w:szCs w:val="40"/>
        </w:rPr>
        <w:t>”, manifestó el presidente de la CCA</w:t>
      </w:r>
      <w:r w:rsidR="00921E91" w:rsidRPr="00921E91">
        <w:rPr>
          <w:sz w:val="40"/>
          <w:szCs w:val="40"/>
        </w:rPr>
        <w:t>.</w:t>
      </w:r>
    </w:p>
    <w:p w:rsidR="00921E91" w:rsidRDefault="00921E91" w:rsidP="00921E91">
      <w:pPr>
        <w:rPr>
          <w:sz w:val="40"/>
          <w:szCs w:val="40"/>
        </w:rPr>
      </w:pPr>
    </w:p>
    <w:p w:rsidR="005B5FFB" w:rsidRDefault="00EE7B35">
      <w:pPr>
        <w:rPr>
          <w:b/>
          <w:bCs/>
          <w:sz w:val="40"/>
          <w:szCs w:val="40"/>
          <w:u w:val="single"/>
        </w:rPr>
      </w:pPr>
      <w:r>
        <w:rPr>
          <w:b/>
          <w:bCs/>
          <w:sz w:val="40"/>
          <w:szCs w:val="40"/>
          <w:u w:val="single"/>
        </w:rPr>
        <w:t xml:space="preserve">RANKING 10 AUTOS USADOS MÁS VENDIDOS EN </w:t>
      </w:r>
      <w:r w:rsidR="004410EA">
        <w:rPr>
          <w:b/>
          <w:bCs/>
          <w:sz w:val="40"/>
          <w:szCs w:val="40"/>
          <w:u w:val="single"/>
        </w:rPr>
        <w:t>MARZO</w:t>
      </w:r>
    </w:p>
    <w:p w:rsidR="005361D6" w:rsidRDefault="005361D6">
      <w:pPr>
        <w:rPr>
          <w:b/>
          <w:bCs/>
          <w:sz w:val="40"/>
          <w:szCs w:val="40"/>
          <w:lang w:val="es-AR"/>
        </w:rPr>
      </w:pPr>
      <w:r>
        <w:rPr>
          <w:b/>
          <w:bCs/>
          <w:sz w:val="40"/>
          <w:szCs w:val="40"/>
          <w:u w:val="single"/>
        </w:rPr>
        <w:t xml:space="preserve"> </w:t>
      </w:r>
    </w:p>
    <w:p w:rsidR="005B5FFB" w:rsidRDefault="00B224E2">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xml:space="preserve">: </w:t>
      </w:r>
      <w:r w:rsidR="004410EA">
        <w:rPr>
          <w:sz w:val="40"/>
          <w:szCs w:val="40"/>
          <w:lang w:val="es-AR"/>
        </w:rPr>
        <w:t>8.973</w:t>
      </w:r>
    </w:p>
    <w:p w:rsidR="00633918" w:rsidRDefault="00B224E2">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xml:space="preserve">: </w:t>
      </w:r>
      <w:r w:rsidR="004410EA">
        <w:rPr>
          <w:sz w:val="40"/>
          <w:szCs w:val="40"/>
          <w:lang w:val="es-AR"/>
        </w:rPr>
        <w:t>4.809</w:t>
      </w:r>
    </w:p>
    <w:p w:rsidR="00633918" w:rsidRDefault="00B224E2">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xml:space="preserve">: </w:t>
      </w:r>
      <w:r w:rsidR="004410EA">
        <w:rPr>
          <w:sz w:val="40"/>
          <w:szCs w:val="40"/>
          <w:lang w:val="es-AR"/>
        </w:rPr>
        <w:t>4.492</w:t>
      </w:r>
    </w:p>
    <w:p w:rsidR="000E2C8A" w:rsidRDefault="000E2C8A">
      <w:pPr>
        <w:rPr>
          <w:sz w:val="40"/>
          <w:szCs w:val="40"/>
          <w:lang w:val="es-AR"/>
        </w:rPr>
      </w:pPr>
    </w:p>
    <w:p w:rsidR="0070524D" w:rsidRDefault="00E97E6D">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xml:space="preserve">: </w:t>
      </w:r>
      <w:r w:rsidR="004410EA">
        <w:rPr>
          <w:sz w:val="40"/>
          <w:szCs w:val="40"/>
          <w:lang w:val="es-AR"/>
        </w:rPr>
        <w:t>3.809</w:t>
      </w:r>
    </w:p>
    <w:p w:rsidR="00E97E6D" w:rsidRDefault="00E97E6D">
      <w:pPr>
        <w:rPr>
          <w:sz w:val="40"/>
          <w:szCs w:val="40"/>
          <w:lang w:val="es-AR"/>
        </w:rPr>
      </w:pPr>
      <w:r>
        <w:rPr>
          <w:sz w:val="40"/>
          <w:szCs w:val="40"/>
          <w:lang w:val="es-AR"/>
        </w:rPr>
        <w:t xml:space="preserve">Ford Fiesta: </w:t>
      </w:r>
      <w:r w:rsidR="004410EA">
        <w:rPr>
          <w:sz w:val="40"/>
          <w:szCs w:val="40"/>
          <w:lang w:val="es-AR"/>
        </w:rPr>
        <w:t>3.372</w:t>
      </w:r>
    </w:p>
    <w:p w:rsidR="00E97E6D" w:rsidRDefault="004410EA">
      <w:pPr>
        <w:rPr>
          <w:sz w:val="40"/>
          <w:szCs w:val="40"/>
          <w:lang w:val="es-AR"/>
        </w:rPr>
      </w:pPr>
      <w:r>
        <w:rPr>
          <w:sz w:val="40"/>
          <w:szCs w:val="40"/>
          <w:lang w:val="es-AR"/>
        </w:rPr>
        <w:t>Fiat Palio: 3.160</w:t>
      </w:r>
    </w:p>
    <w:p w:rsidR="00E97E6D" w:rsidRDefault="004410EA">
      <w:pPr>
        <w:rPr>
          <w:sz w:val="40"/>
          <w:szCs w:val="40"/>
          <w:lang w:val="es-AR"/>
        </w:rPr>
      </w:pPr>
      <w:r>
        <w:rPr>
          <w:sz w:val="40"/>
          <w:szCs w:val="40"/>
          <w:lang w:val="es-AR"/>
        </w:rPr>
        <w:t xml:space="preserve">Ford </w:t>
      </w:r>
      <w:proofErr w:type="spellStart"/>
      <w:r>
        <w:rPr>
          <w:sz w:val="40"/>
          <w:szCs w:val="40"/>
          <w:lang w:val="es-AR"/>
        </w:rPr>
        <w:t>EcoSport</w:t>
      </w:r>
      <w:proofErr w:type="spellEnd"/>
      <w:r>
        <w:rPr>
          <w:sz w:val="40"/>
          <w:szCs w:val="40"/>
          <w:lang w:val="es-AR"/>
        </w:rPr>
        <w:t>: 3.091</w:t>
      </w:r>
    </w:p>
    <w:p w:rsidR="00E60A01" w:rsidRDefault="00E97E6D">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xml:space="preserve">: </w:t>
      </w:r>
      <w:r w:rsidR="004410EA">
        <w:rPr>
          <w:sz w:val="40"/>
          <w:szCs w:val="40"/>
          <w:lang w:val="es-AR"/>
        </w:rPr>
        <w:t>3.085</w:t>
      </w:r>
    </w:p>
    <w:p w:rsidR="00E60A01" w:rsidRDefault="004410EA">
      <w:pPr>
        <w:rPr>
          <w:sz w:val="40"/>
          <w:szCs w:val="40"/>
          <w:lang w:val="es-AR"/>
        </w:rPr>
      </w:pPr>
      <w:r>
        <w:rPr>
          <w:sz w:val="40"/>
          <w:szCs w:val="40"/>
          <w:lang w:val="es-AR"/>
        </w:rPr>
        <w:t xml:space="preserve">Ford </w:t>
      </w:r>
      <w:proofErr w:type="spellStart"/>
      <w:r>
        <w:rPr>
          <w:sz w:val="40"/>
          <w:szCs w:val="40"/>
          <w:lang w:val="es-AR"/>
        </w:rPr>
        <w:t>Ka</w:t>
      </w:r>
      <w:proofErr w:type="spellEnd"/>
      <w:r>
        <w:rPr>
          <w:sz w:val="40"/>
          <w:szCs w:val="40"/>
          <w:lang w:val="es-AR"/>
        </w:rPr>
        <w:t>: 3.037</w:t>
      </w:r>
    </w:p>
    <w:p w:rsidR="00E97E6D" w:rsidRDefault="004410EA">
      <w:pPr>
        <w:rPr>
          <w:sz w:val="40"/>
          <w:szCs w:val="40"/>
          <w:lang w:val="es-AR"/>
        </w:rPr>
      </w:pPr>
      <w:r>
        <w:rPr>
          <w:sz w:val="40"/>
          <w:szCs w:val="40"/>
          <w:lang w:val="es-AR"/>
        </w:rPr>
        <w:t xml:space="preserve">Ford </w:t>
      </w:r>
      <w:proofErr w:type="spellStart"/>
      <w:r>
        <w:rPr>
          <w:sz w:val="40"/>
          <w:szCs w:val="40"/>
          <w:lang w:val="es-AR"/>
        </w:rPr>
        <w:t>Focus</w:t>
      </w:r>
      <w:proofErr w:type="spellEnd"/>
      <w:r>
        <w:rPr>
          <w:sz w:val="40"/>
          <w:szCs w:val="40"/>
          <w:lang w:val="es-AR"/>
        </w:rPr>
        <w:t>: 2.942</w:t>
      </w:r>
    </w:p>
    <w:p w:rsidR="00E60A01" w:rsidRDefault="00E60A01">
      <w:pPr>
        <w:rPr>
          <w:b/>
          <w:bCs/>
          <w:sz w:val="40"/>
          <w:szCs w:val="40"/>
          <w:u w:val="single"/>
          <w:lang w:val="es-AR"/>
        </w:rPr>
      </w:pPr>
    </w:p>
    <w:p w:rsidR="00F81970" w:rsidRDefault="00EE7B35">
      <w:pPr>
        <w:rPr>
          <w:b/>
          <w:bCs/>
          <w:sz w:val="40"/>
          <w:szCs w:val="40"/>
          <w:u w:val="single"/>
          <w:lang w:val="es-AR"/>
        </w:rPr>
      </w:pPr>
      <w:r>
        <w:rPr>
          <w:b/>
          <w:bCs/>
          <w:sz w:val="40"/>
          <w:szCs w:val="40"/>
          <w:u w:val="single"/>
          <w:lang w:val="es-AR"/>
        </w:rPr>
        <w:t>AUTOS USADOS: P</w:t>
      </w:r>
      <w:r w:rsidR="00EA30F6">
        <w:rPr>
          <w:b/>
          <w:bCs/>
          <w:sz w:val="40"/>
          <w:szCs w:val="40"/>
          <w:u w:val="single"/>
          <w:lang w:val="es-AR"/>
        </w:rPr>
        <w:t xml:space="preserve">ROVINCIAS QUE SUBIERON EN </w:t>
      </w:r>
      <w:r w:rsidR="004410EA">
        <w:rPr>
          <w:b/>
          <w:bCs/>
          <w:sz w:val="40"/>
          <w:szCs w:val="40"/>
          <w:u w:val="single"/>
          <w:lang w:val="es-AR"/>
        </w:rPr>
        <w:t>EL PERÍODO ENERO-MARZO</w:t>
      </w:r>
      <w:r w:rsidR="00F81970">
        <w:rPr>
          <w:b/>
          <w:bCs/>
          <w:sz w:val="40"/>
          <w:szCs w:val="40"/>
          <w:u w:val="single"/>
          <w:lang w:val="es-AR"/>
        </w:rPr>
        <w:t xml:space="preserve"> 2023</w:t>
      </w:r>
    </w:p>
    <w:p w:rsidR="00E97E6D" w:rsidRDefault="00E97E6D">
      <w:pPr>
        <w:rPr>
          <w:b/>
          <w:bCs/>
          <w:sz w:val="40"/>
          <w:szCs w:val="40"/>
          <w:u w:val="single"/>
          <w:lang w:val="es-AR"/>
        </w:rPr>
      </w:pPr>
    </w:p>
    <w:p w:rsidR="009E1DA5" w:rsidRDefault="004410EA">
      <w:pPr>
        <w:rPr>
          <w:bCs/>
          <w:sz w:val="40"/>
          <w:szCs w:val="40"/>
          <w:lang w:val="es-AR"/>
        </w:rPr>
      </w:pPr>
      <w:r>
        <w:rPr>
          <w:bCs/>
          <w:sz w:val="40"/>
          <w:szCs w:val="40"/>
          <w:lang w:val="es-AR"/>
        </w:rPr>
        <w:t>Neuquén: 12,06%</w:t>
      </w:r>
    </w:p>
    <w:p w:rsidR="004410EA" w:rsidRDefault="004410EA">
      <w:pPr>
        <w:rPr>
          <w:bCs/>
          <w:sz w:val="40"/>
          <w:szCs w:val="40"/>
          <w:lang w:val="es-AR"/>
        </w:rPr>
      </w:pPr>
      <w:r>
        <w:rPr>
          <w:bCs/>
          <w:sz w:val="40"/>
          <w:szCs w:val="40"/>
          <w:lang w:val="es-AR"/>
        </w:rPr>
        <w:t>Salta: 10,86%</w:t>
      </w:r>
    </w:p>
    <w:p w:rsidR="004410EA" w:rsidRDefault="004410EA">
      <w:pPr>
        <w:rPr>
          <w:bCs/>
          <w:sz w:val="40"/>
          <w:szCs w:val="40"/>
          <w:lang w:val="es-AR"/>
        </w:rPr>
      </w:pPr>
      <w:r>
        <w:rPr>
          <w:bCs/>
          <w:sz w:val="40"/>
          <w:szCs w:val="40"/>
          <w:lang w:val="es-AR"/>
        </w:rPr>
        <w:t>Formosa: 10,24%</w:t>
      </w:r>
    </w:p>
    <w:p w:rsidR="004410EA" w:rsidRDefault="004410EA">
      <w:pPr>
        <w:rPr>
          <w:bCs/>
          <w:sz w:val="40"/>
          <w:szCs w:val="40"/>
          <w:lang w:val="es-AR"/>
        </w:rPr>
      </w:pPr>
      <w:r>
        <w:rPr>
          <w:bCs/>
          <w:sz w:val="40"/>
          <w:szCs w:val="40"/>
          <w:lang w:val="es-AR"/>
        </w:rPr>
        <w:t>Santa Cruz: 8,88%</w:t>
      </w:r>
    </w:p>
    <w:p w:rsidR="004410EA" w:rsidRDefault="004410EA">
      <w:pPr>
        <w:rPr>
          <w:bCs/>
          <w:sz w:val="40"/>
          <w:szCs w:val="40"/>
          <w:lang w:val="es-AR"/>
        </w:rPr>
      </w:pPr>
      <w:r>
        <w:rPr>
          <w:bCs/>
          <w:sz w:val="40"/>
          <w:szCs w:val="40"/>
          <w:lang w:val="es-AR"/>
        </w:rPr>
        <w:t>San Juan: 7,15%</w:t>
      </w:r>
    </w:p>
    <w:p w:rsidR="004410EA" w:rsidRDefault="004410EA">
      <w:pPr>
        <w:rPr>
          <w:bCs/>
          <w:sz w:val="40"/>
          <w:szCs w:val="40"/>
          <w:lang w:val="es-AR"/>
        </w:rPr>
      </w:pPr>
      <w:r>
        <w:rPr>
          <w:bCs/>
          <w:sz w:val="40"/>
          <w:szCs w:val="40"/>
          <w:lang w:val="es-AR"/>
        </w:rPr>
        <w:t>Mendoza: 6,68%</w:t>
      </w:r>
    </w:p>
    <w:p w:rsidR="004410EA" w:rsidRDefault="004410EA">
      <w:pPr>
        <w:rPr>
          <w:bCs/>
          <w:sz w:val="40"/>
          <w:szCs w:val="40"/>
          <w:lang w:val="es-AR"/>
        </w:rPr>
      </w:pPr>
      <w:r>
        <w:rPr>
          <w:bCs/>
          <w:sz w:val="40"/>
          <w:szCs w:val="40"/>
          <w:lang w:val="es-AR"/>
        </w:rPr>
        <w:t>Jujuy: 5,65%</w:t>
      </w:r>
    </w:p>
    <w:p w:rsidR="004410EA" w:rsidRDefault="004410EA">
      <w:pPr>
        <w:rPr>
          <w:bCs/>
          <w:sz w:val="40"/>
          <w:szCs w:val="40"/>
          <w:lang w:val="es-AR"/>
        </w:rPr>
      </w:pPr>
      <w:r>
        <w:rPr>
          <w:bCs/>
          <w:sz w:val="40"/>
          <w:szCs w:val="40"/>
          <w:lang w:val="es-AR"/>
        </w:rPr>
        <w:t>Misiones: 5,39%</w:t>
      </w:r>
    </w:p>
    <w:p w:rsidR="004410EA" w:rsidRDefault="004410EA">
      <w:pPr>
        <w:rPr>
          <w:bCs/>
          <w:sz w:val="40"/>
          <w:szCs w:val="40"/>
          <w:lang w:val="es-AR"/>
        </w:rPr>
      </w:pPr>
      <w:r>
        <w:rPr>
          <w:bCs/>
          <w:sz w:val="40"/>
          <w:szCs w:val="40"/>
          <w:lang w:val="es-AR"/>
        </w:rPr>
        <w:t>Río Negro: 5,25%</w:t>
      </w:r>
    </w:p>
    <w:p w:rsidR="004410EA" w:rsidRDefault="004410EA">
      <w:pPr>
        <w:rPr>
          <w:bCs/>
          <w:sz w:val="40"/>
          <w:szCs w:val="40"/>
          <w:lang w:val="es-AR"/>
        </w:rPr>
      </w:pPr>
      <w:r>
        <w:rPr>
          <w:bCs/>
          <w:sz w:val="40"/>
          <w:szCs w:val="40"/>
          <w:lang w:val="es-AR"/>
        </w:rPr>
        <w:t>Córdoba: 4,28%</w:t>
      </w:r>
    </w:p>
    <w:p w:rsidR="004410EA" w:rsidRDefault="004410EA">
      <w:pPr>
        <w:rPr>
          <w:bCs/>
          <w:sz w:val="40"/>
          <w:szCs w:val="40"/>
          <w:lang w:val="es-AR"/>
        </w:rPr>
      </w:pPr>
      <w:r>
        <w:rPr>
          <w:bCs/>
          <w:sz w:val="40"/>
          <w:szCs w:val="40"/>
          <w:lang w:val="es-AR"/>
        </w:rPr>
        <w:t>Corrientes: 3,96%</w:t>
      </w:r>
    </w:p>
    <w:p w:rsidR="000E2C8A" w:rsidRDefault="000E2C8A">
      <w:pPr>
        <w:rPr>
          <w:bCs/>
          <w:sz w:val="40"/>
          <w:szCs w:val="40"/>
          <w:lang w:val="es-AR"/>
        </w:rPr>
      </w:pPr>
    </w:p>
    <w:p w:rsidR="004410EA" w:rsidRDefault="004410EA">
      <w:pPr>
        <w:rPr>
          <w:bCs/>
          <w:sz w:val="40"/>
          <w:szCs w:val="40"/>
          <w:lang w:val="es-AR"/>
        </w:rPr>
      </w:pPr>
      <w:r>
        <w:rPr>
          <w:bCs/>
          <w:sz w:val="40"/>
          <w:szCs w:val="40"/>
          <w:lang w:val="es-AR"/>
        </w:rPr>
        <w:t>Chubut: 3,89%</w:t>
      </w:r>
    </w:p>
    <w:p w:rsidR="004410EA" w:rsidRDefault="004410EA">
      <w:pPr>
        <w:rPr>
          <w:bCs/>
          <w:sz w:val="40"/>
          <w:szCs w:val="40"/>
          <w:lang w:val="es-AR"/>
        </w:rPr>
      </w:pPr>
      <w:r>
        <w:rPr>
          <w:bCs/>
          <w:sz w:val="40"/>
          <w:szCs w:val="40"/>
          <w:lang w:val="es-AR"/>
        </w:rPr>
        <w:t>La Pampa: 3,63%</w:t>
      </w:r>
    </w:p>
    <w:p w:rsidR="004410EA" w:rsidRDefault="004410EA">
      <w:pPr>
        <w:rPr>
          <w:bCs/>
          <w:sz w:val="40"/>
          <w:szCs w:val="40"/>
          <w:lang w:val="es-AR"/>
        </w:rPr>
      </w:pPr>
      <w:proofErr w:type="spellStart"/>
      <w:r>
        <w:rPr>
          <w:bCs/>
          <w:sz w:val="40"/>
          <w:szCs w:val="40"/>
          <w:lang w:val="es-AR"/>
        </w:rPr>
        <w:t>Pcia</w:t>
      </w:r>
      <w:proofErr w:type="spellEnd"/>
      <w:r>
        <w:rPr>
          <w:bCs/>
          <w:sz w:val="40"/>
          <w:szCs w:val="40"/>
          <w:lang w:val="es-AR"/>
        </w:rPr>
        <w:t xml:space="preserve">. </w:t>
      </w:r>
      <w:proofErr w:type="spellStart"/>
      <w:r>
        <w:rPr>
          <w:bCs/>
          <w:sz w:val="40"/>
          <w:szCs w:val="40"/>
          <w:lang w:val="es-AR"/>
        </w:rPr>
        <w:t>Bs.As</w:t>
      </w:r>
      <w:proofErr w:type="spellEnd"/>
      <w:r>
        <w:rPr>
          <w:bCs/>
          <w:sz w:val="40"/>
          <w:szCs w:val="40"/>
          <w:lang w:val="es-AR"/>
        </w:rPr>
        <w:t>: 3,37%</w:t>
      </w:r>
    </w:p>
    <w:p w:rsidR="004410EA" w:rsidRDefault="004410EA">
      <w:pPr>
        <w:rPr>
          <w:bCs/>
          <w:sz w:val="40"/>
          <w:szCs w:val="40"/>
          <w:lang w:val="es-AR"/>
        </w:rPr>
      </w:pPr>
      <w:r>
        <w:rPr>
          <w:bCs/>
          <w:sz w:val="40"/>
          <w:szCs w:val="40"/>
          <w:lang w:val="es-AR"/>
        </w:rPr>
        <w:t>Tucumán: 2,80%</w:t>
      </w:r>
    </w:p>
    <w:p w:rsidR="004410EA" w:rsidRDefault="004410EA">
      <w:pPr>
        <w:rPr>
          <w:bCs/>
          <w:sz w:val="40"/>
          <w:szCs w:val="40"/>
          <w:lang w:val="es-AR"/>
        </w:rPr>
      </w:pPr>
      <w:r>
        <w:rPr>
          <w:bCs/>
          <w:sz w:val="40"/>
          <w:szCs w:val="40"/>
          <w:lang w:val="es-AR"/>
        </w:rPr>
        <w:t>La Rioja: 2,40%</w:t>
      </w:r>
    </w:p>
    <w:p w:rsidR="004410EA" w:rsidRDefault="004410EA">
      <w:pPr>
        <w:rPr>
          <w:bCs/>
          <w:sz w:val="40"/>
          <w:szCs w:val="40"/>
          <w:lang w:val="es-AR"/>
        </w:rPr>
      </w:pPr>
      <w:r>
        <w:rPr>
          <w:bCs/>
          <w:sz w:val="40"/>
          <w:szCs w:val="40"/>
          <w:lang w:val="es-AR"/>
        </w:rPr>
        <w:t>Chaco: 2,44%</w:t>
      </w:r>
    </w:p>
    <w:p w:rsidR="004410EA" w:rsidRDefault="004410EA">
      <w:pPr>
        <w:rPr>
          <w:bCs/>
          <w:sz w:val="40"/>
          <w:szCs w:val="40"/>
          <w:lang w:val="es-AR"/>
        </w:rPr>
      </w:pPr>
      <w:r>
        <w:rPr>
          <w:bCs/>
          <w:sz w:val="40"/>
          <w:szCs w:val="40"/>
          <w:lang w:val="es-AR"/>
        </w:rPr>
        <w:t>CABA: 2,11%</w:t>
      </w:r>
    </w:p>
    <w:p w:rsidR="004410EA" w:rsidRPr="009E1DA5" w:rsidRDefault="004410EA">
      <w:pPr>
        <w:rPr>
          <w:bCs/>
          <w:sz w:val="40"/>
          <w:szCs w:val="40"/>
          <w:lang w:val="es-AR"/>
        </w:rPr>
      </w:pPr>
      <w:r>
        <w:rPr>
          <w:bCs/>
          <w:sz w:val="40"/>
          <w:szCs w:val="40"/>
          <w:lang w:val="es-AR"/>
        </w:rPr>
        <w:t>Tierra del Fuego: 0,18%</w:t>
      </w:r>
    </w:p>
    <w:p w:rsidR="00E97E6D" w:rsidRDefault="00E97E6D">
      <w:pPr>
        <w:rPr>
          <w:bCs/>
          <w:sz w:val="40"/>
          <w:szCs w:val="40"/>
          <w:lang w:val="es-AR"/>
        </w:rPr>
      </w:pPr>
    </w:p>
    <w:p w:rsidR="005B5FFB" w:rsidRDefault="00EE7B35">
      <w:pPr>
        <w:rPr>
          <w:b/>
          <w:bCs/>
          <w:sz w:val="40"/>
          <w:szCs w:val="40"/>
          <w:u w:val="single"/>
        </w:rPr>
      </w:pPr>
      <w:r>
        <w:rPr>
          <w:b/>
          <w:bCs/>
          <w:sz w:val="40"/>
          <w:szCs w:val="40"/>
          <w:u w:val="single"/>
        </w:rPr>
        <w:t xml:space="preserve">AUTOS USADOS: PROVINCIAS QUE BAJARON EN </w:t>
      </w:r>
      <w:r w:rsidR="00E97E6D">
        <w:rPr>
          <w:b/>
          <w:bCs/>
          <w:sz w:val="40"/>
          <w:szCs w:val="40"/>
          <w:u w:val="single"/>
        </w:rPr>
        <w:t>ENERO</w:t>
      </w:r>
      <w:r w:rsidR="007C2B87">
        <w:rPr>
          <w:b/>
          <w:bCs/>
          <w:sz w:val="40"/>
          <w:szCs w:val="40"/>
          <w:u w:val="single"/>
        </w:rPr>
        <w:t>-</w:t>
      </w:r>
      <w:r w:rsidR="004410EA">
        <w:rPr>
          <w:b/>
          <w:bCs/>
          <w:sz w:val="40"/>
          <w:szCs w:val="40"/>
          <w:u w:val="single"/>
        </w:rPr>
        <w:t>MARZO</w:t>
      </w:r>
      <w:r w:rsidR="00F81970">
        <w:rPr>
          <w:b/>
          <w:bCs/>
          <w:sz w:val="40"/>
          <w:szCs w:val="40"/>
          <w:u w:val="single"/>
        </w:rPr>
        <w:t xml:space="preserve"> 2023</w:t>
      </w:r>
    </w:p>
    <w:p w:rsidR="00EC36EF" w:rsidRDefault="00EC36EF">
      <w:pPr>
        <w:rPr>
          <w:b/>
          <w:bCs/>
          <w:sz w:val="40"/>
          <w:szCs w:val="40"/>
          <w:u w:val="single"/>
        </w:rPr>
      </w:pPr>
      <w:r>
        <w:rPr>
          <w:b/>
          <w:bCs/>
          <w:sz w:val="40"/>
          <w:szCs w:val="40"/>
          <w:u w:val="single"/>
        </w:rPr>
        <w:t xml:space="preserve"> </w:t>
      </w:r>
    </w:p>
    <w:p w:rsidR="00EC36EF" w:rsidRDefault="004410EA">
      <w:pPr>
        <w:rPr>
          <w:bCs/>
          <w:sz w:val="40"/>
          <w:szCs w:val="40"/>
        </w:rPr>
      </w:pPr>
      <w:r>
        <w:rPr>
          <w:bCs/>
          <w:sz w:val="40"/>
          <w:szCs w:val="40"/>
        </w:rPr>
        <w:t>San Luis: 9,05%</w:t>
      </w:r>
    </w:p>
    <w:p w:rsidR="004410EA" w:rsidRDefault="004410EA">
      <w:pPr>
        <w:rPr>
          <w:bCs/>
          <w:sz w:val="40"/>
          <w:szCs w:val="40"/>
        </w:rPr>
      </w:pPr>
      <w:r>
        <w:rPr>
          <w:bCs/>
          <w:sz w:val="40"/>
          <w:szCs w:val="40"/>
        </w:rPr>
        <w:t>Santiago del Estero: 3,09%</w:t>
      </w:r>
    </w:p>
    <w:p w:rsidR="004410EA" w:rsidRDefault="004410EA">
      <w:pPr>
        <w:rPr>
          <w:bCs/>
          <w:sz w:val="40"/>
          <w:szCs w:val="40"/>
        </w:rPr>
      </w:pPr>
      <w:r>
        <w:rPr>
          <w:bCs/>
          <w:sz w:val="40"/>
          <w:szCs w:val="40"/>
        </w:rPr>
        <w:t>Entre Ríos: 1,76%</w:t>
      </w:r>
    </w:p>
    <w:p w:rsidR="004410EA" w:rsidRDefault="004410EA">
      <w:pPr>
        <w:rPr>
          <w:bCs/>
          <w:sz w:val="40"/>
          <w:szCs w:val="40"/>
        </w:rPr>
      </w:pPr>
      <w:r>
        <w:rPr>
          <w:bCs/>
          <w:sz w:val="40"/>
          <w:szCs w:val="40"/>
        </w:rPr>
        <w:t>Catamarca: 1,49%</w:t>
      </w:r>
    </w:p>
    <w:p w:rsidR="004410EA" w:rsidRDefault="004410EA">
      <w:pPr>
        <w:rPr>
          <w:bCs/>
          <w:sz w:val="40"/>
          <w:szCs w:val="40"/>
        </w:rPr>
      </w:pPr>
      <w:r>
        <w:rPr>
          <w:bCs/>
          <w:sz w:val="40"/>
          <w:szCs w:val="40"/>
        </w:rPr>
        <w:t>Santa Fe: 1,10%</w:t>
      </w:r>
    </w:p>
    <w:p w:rsidR="00EC36EF" w:rsidRDefault="00EC36EF">
      <w:pPr>
        <w:rPr>
          <w:bCs/>
          <w:sz w:val="40"/>
          <w:szCs w:val="40"/>
        </w:rPr>
      </w:pPr>
    </w:p>
    <w:p w:rsidR="00EC36EF" w:rsidRDefault="00EC36EF">
      <w:pPr>
        <w:rPr>
          <w:bCs/>
          <w:sz w:val="40"/>
          <w:szCs w:val="40"/>
        </w:rPr>
      </w:pPr>
    </w:p>
    <w:p w:rsidR="00EC36EF" w:rsidRDefault="000E2C8A">
      <w:pPr>
        <w:rPr>
          <w:bCs/>
          <w:sz w:val="40"/>
          <w:szCs w:val="40"/>
        </w:rPr>
      </w:pPr>
      <w:r>
        <w:rPr>
          <w:bCs/>
          <w:sz w:val="40"/>
          <w:szCs w:val="40"/>
        </w:rPr>
        <w:t>Buenos Aires, abril 2023</w:t>
      </w:r>
      <w:bookmarkStart w:id="0" w:name="_GoBack"/>
      <w:bookmarkEnd w:id="0"/>
    </w:p>
    <w:p w:rsidR="00EC36EF" w:rsidRPr="00EC36EF" w:rsidRDefault="00EC36EF">
      <w:pPr>
        <w:rPr>
          <w:bCs/>
          <w:sz w:val="40"/>
          <w:szCs w:val="40"/>
        </w:rPr>
      </w:pPr>
    </w:p>
    <w:p w:rsidR="005B5FFB" w:rsidRDefault="005B5FFB">
      <w:pPr>
        <w:rPr>
          <w:b/>
          <w:bCs/>
          <w:sz w:val="40"/>
          <w:szCs w:val="40"/>
          <w:u w:val="single"/>
        </w:rPr>
      </w:pPr>
    </w:p>
    <w:p w:rsidR="005B5FFB" w:rsidRDefault="005B5FFB">
      <w:pPr>
        <w:rPr>
          <w:sz w:val="40"/>
          <w:szCs w:val="40"/>
          <w:lang w:val="es-AR"/>
        </w:rPr>
      </w:pPr>
    </w:p>
    <w:sectPr w:rsidR="005B5FFB">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79" w:rsidRDefault="00BE2979">
      <w:r>
        <w:separator/>
      </w:r>
    </w:p>
  </w:endnote>
  <w:endnote w:type="continuationSeparator" w:id="0">
    <w:p w:rsidR="00BE2979" w:rsidRDefault="00BE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spacing w:before="120"/>
      <w:jc w:val="center"/>
      <w:rPr>
        <w:sz w:val="20"/>
      </w:rPr>
    </w:pPr>
    <w:r>
      <w:rPr>
        <w:sz w:val="20"/>
      </w:rPr>
      <w:t>SOLER 3909 - (1425)  BUENOS AIRES   TEL. 4824-7272/9505/9498/9489   FAX. 4822-7453  4823-1837</w:t>
    </w:r>
  </w:p>
  <w:p w:rsidR="005B5FFB" w:rsidRDefault="00EE7B35">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79" w:rsidRDefault="00BE2979">
      <w:r>
        <w:separator/>
      </w:r>
    </w:p>
  </w:footnote>
  <w:footnote w:type="continuationSeparator" w:id="0">
    <w:p w:rsidR="00BE2979" w:rsidRDefault="00BE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FB" w:rsidRDefault="00EE7B35">
    <w:pPr>
      <w:pStyle w:val="Epgrafe"/>
      <w:rPr>
        <w:lang w:val="es-AR" w:eastAsia="es-AR"/>
      </w:rPr>
    </w:pPr>
    <w:r>
      <w:rPr>
        <w:noProof/>
        <w:lang w:val="es-AR" w:eastAsia="es-AR"/>
      </w:rPr>
      <w:drawing>
        <wp:anchor distT="0" distB="0" distL="114935" distR="114935" simplePos="0" relativeHeight="7"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5B5FFB">
    <w:pPr>
      <w:pStyle w:val="Epgrafe"/>
    </w:pPr>
  </w:p>
  <w:p w:rsidR="005B5FFB" w:rsidRDefault="00EE7B35">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FB"/>
    <w:rsid w:val="000052C4"/>
    <w:rsid w:val="00014BB4"/>
    <w:rsid w:val="00082D83"/>
    <w:rsid w:val="000A42BD"/>
    <w:rsid w:val="000C3EEA"/>
    <w:rsid w:val="000E2C8A"/>
    <w:rsid w:val="000F42A3"/>
    <w:rsid w:val="00173D46"/>
    <w:rsid w:val="001A65AD"/>
    <w:rsid w:val="001D72B2"/>
    <w:rsid w:val="003B5BE9"/>
    <w:rsid w:val="003D3F8D"/>
    <w:rsid w:val="00400B9F"/>
    <w:rsid w:val="00403BB7"/>
    <w:rsid w:val="004410EA"/>
    <w:rsid w:val="004438A9"/>
    <w:rsid w:val="00455454"/>
    <w:rsid w:val="00480F7A"/>
    <w:rsid w:val="004A19DF"/>
    <w:rsid w:val="004A5BB5"/>
    <w:rsid w:val="004C5B87"/>
    <w:rsid w:val="004E54CB"/>
    <w:rsid w:val="005163ED"/>
    <w:rsid w:val="005347AD"/>
    <w:rsid w:val="005361D6"/>
    <w:rsid w:val="00544C4B"/>
    <w:rsid w:val="00546376"/>
    <w:rsid w:val="00576146"/>
    <w:rsid w:val="005B5FFB"/>
    <w:rsid w:val="005D3D03"/>
    <w:rsid w:val="005D6EB5"/>
    <w:rsid w:val="00633918"/>
    <w:rsid w:val="006D5281"/>
    <w:rsid w:val="006F0F12"/>
    <w:rsid w:val="0070524D"/>
    <w:rsid w:val="00747D83"/>
    <w:rsid w:val="007C2B87"/>
    <w:rsid w:val="007C6192"/>
    <w:rsid w:val="007E0EF5"/>
    <w:rsid w:val="00810E0A"/>
    <w:rsid w:val="00816256"/>
    <w:rsid w:val="00873E37"/>
    <w:rsid w:val="008A6139"/>
    <w:rsid w:val="008B2468"/>
    <w:rsid w:val="008D0DC2"/>
    <w:rsid w:val="008F65D3"/>
    <w:rsid w:val="00906A5C"/>
    <w:rsid w:val="00921E91"/>
    <w:rsid w:val="00937D88"/>
    <w:rsid w:val="00963F00"/>
    <w:rsid w:val="009665D6"/>
    <w:rsid w:val="00972E60"/>
    <w:rsid w:val="009D052F"/>
    <w:rsid w:val="009D0BC7"/>
    <w:rsid w:val="009E1DA5"/>
    <w:rsid w:val="00A01BC5"/>
    <w:rsid w:val="00A11B01"/>
    <w:rsid w:val="00AC3494"/>
    <w:rsid w:val="00AF6EF1"/>
    <w:rsid w:val="00B05960"/>
    <w:rsid w:val="00B224E2"/>
    <w:rsid w:val="00BE2979"/>
    <w:rsid w:val="00C234B7"/>
    <w:rsid w:val="00D34DAF"/>
    <w:rsid w:val="00DB149F"/>
    <w:rsid w:val="00DF54CE"/>
    <w:rsid w:val="00E34258"/>
    <w:rsid w:val="00E54606"/>
    <w:rsid w:val="00E60A01"/>
    <w:rsid w:val="00E80932"/>
    <w:rsid w:val="00E97E6D"/>
    <w:rsid w:val="00EA30F6"/>
    <w:rsid w:val="00EC05A4"/>
    <w:rsid w:val="00EC36EF"/>
    <w:rsid w:val="00EE7B35"/>
    <w:rsid w:val="00F81970"/>
    <w:rsid w:val="00FF5B61"/>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2</cp:revision>
  <dcterms:created xsi:type="dcterms:W3CDTF">2023-04-06T15:40:00Z</dcterms:created>
  <dcterms:modified xsi:type="dcterms:W3CDTF">2023-04-06T15:40:00Z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