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3E" w:rsidRDefault="005C153E">
      <w:pPr>
        <w:rPr>
          <w:lang w:val="es-MX"/>
        </w:rPr>
      </w:pPr>
    </w:p>
    <w:p w:rsidR="007B7101" w:rsidRDefault="007B7101">
      <w:pPr>
        <w:rPr>
          <w:b/>
          <w:bCs/>
          <w:sz w:val="52"/>
          <w:szCs w:val="52"/>
        </w:rPr>
      </w:pPr>
    </w:p>
    <w:p w:rsidR="005C153E" w:rsidRDefault="00B40D80">
      <w:pPr>
        <w:rPr>
          <w:b/>
          <w:bCs/>
          <w:sz w:val="52"/>
          <w:szCs w:val="52"/>
        </w:rPr>
      </w:pPr>
      <w:r>
        <w:rPr>
          <w:b/>
          <w:bCs/>
          <w:sz w:val="52"/>
          <w:szCs w:val="52"/>
        </w:rPr>
        <w:t>INFORMACION DE PRENSA</w:t>
      </w:r>
    </w:p>
    <w:p w:rsidR="005C153E" w:rsidRDefault="005C153E">
      <w:pPr>
        <w:rPr>
          <w:b/>
          <w:sz w:val="36"/>
          <w:szCs w:val="36"/>
        </w:rPr>
      </w:pPr>
    </w:p>
    <w:p w:rsidR="005C153E" w:rsidRDefault="00074E19">
      <w:r>
        <w:rPr>
          <w:b/>
          <w:sz w:val="36"/>
          <w:szCs w:val="36"/>
          <w:u w:val="single"/>
        </w:rPr>
        <w:t>EN MAYO SE VENDIERON 138.552</w:t>
      </w:r>
      <w:r w:rsidR="00CB1B50">
        <w:rPr>
          <w:b/>
          <w:sz w:val="36"/>
          <w:szCs w:val="36"/>
          <w:u w:val="single"/>
        </w:rPr>
        <w:t xml:space="preserve"> </w:t>
      </w:r>
      <w:r w:rsidR="00B40D80">
        <w:rPr>
          <w:b/>
          <w:sz w:val="36"/>
          <w:szCs w:val="36"/>
          <w:u w:val="single"/>
        </w:rPr>
        <w:t xml:space="preserve">VEHÍCULOS USADOS  </w:t>
      </w:r>
    </w:p>
    <w:p w:rsidR="005C153E" w:rsidRDefault="005C153E">
      <w:pPr>
        <w:rPr>
          <w:b/>
          <w:sz w:val="36"/>
          <w:szCs w:val="36"/>
          <w:u w:val="single"/>
        </w:rPr>
      </w:pPr>
    </w:p>
    <w:p w:rsidR="005C153E" w:rsidRDefault="00074E19">
      <w:pPr>
        <w:rPr>
          <w:b/>
          <w:sz w:val="36"/>
          <w:szCs w:val="36"/>
          <w:u w:val="single"/>
        </w:rPr>
      </w:pPr>
      <w:r>
        <w:rPr>
          <w:b/>
          <w:sz w:val="36"/>
          <w:szCs w:val="36"/>
          <w:u w:val="single"/>
        </w:rPr>
        <w:t xml:space="preserve">EN LOS 5 </w:t>
      </w:r>
      <w:r w:rsidR="009E0FE6">
        <w:rPr>
          <w:b/>
          <w:sz w:val="36"/>
          <w:szCs w:val="36"/>
          <w:u w:val="single"/>
        </w:rPr>
        <w:t>PRIMEROS MESES DE</w:t>
      </w:r>
      <w:r>
        <w:rPr>
          <w:b/>
          <w:sz w:val="36"/>
          <w:szCs w:val="36"/>
          <w:u w:val="single"/>
        </w:rPr>
        <w:t>L AÑO SE COMERCIALIZARON 648.575</w:t>
      </w:r>
      <w:r w:rsidR="009E0FE6">
        <w:rPr>
          <w:b/>
          <w:sz w:val="36"/>
          <w:szCs w:val="36"/>
          <w:u w:val="single"/>
        </w:rPr>
        <w:t xml:space="preserve"> UNIDADES</w:t>
      </w:r>
    </w:p>
    <w:p w:rsidR="005D4B17" w:rsidRDefault="005D4B17">
      <w:pPr>
        <w:rPr>
          <w:sz w:val="40"/>
          <w:szCs w:val="40"/>
        </w:rPr>
      </w:pPr>
    </w:p>
    <w:p w:rsidR="00CB1B50" w:rsidRDefault="00B40D80">
      <w:pPr>
        <w:rPr>
          <w:sz w:val="40"/>
          <w:szCs w:val="40"/>
        </w:rPr>
      </w:pPr>
      <w:r>
        <w:rPr>
          <w:sz w:val="40"/>
          <w:szCs w:val="40"/>
        </w:rPr>
        <w:t>La Cámara del Comercio Automotor (CCA</w:t>
      </w:r>
      <w:r w:rsidR="009E0FE6">
        <w:rPr>
          <w:sz w:val="40"/>
          <w:szCs w:val="40"/>
        </w:rPr>
        <w:t xml:space="preserve">) </w:t>
      </w:r>
      <w:r w:rsidR="00074E19">
        <w:rPr>
          <w:sz w:val="40"/>
          <w:szCs w:val="40"/>
        </w:rPr>
        <w:t>informó que en el mes de mayo</w:t>
      </w:r>
      <w:r>
        <w:rPr>
          <w:sz w:val="40"/>
          <w:szCs w:val="40"/>
        </w:rPr>
        <w:t xml:space="preserve"> se c</w:t>
      </w:r>
      <w:r w:rsidR="009E0FE6">
        <w:rPr>
          <w:sz w:val="40"/>
          <w:szCs w:val="40"/>
        </w:rPr>
        <w:t xml:space="preserve">omercializó en Argentina </w:t>
      </w:r>
      <w:r w:rsidR="00074E19">
        <w:rPr>
          <w:sz w:val="40"/>
          <w:szCs w:val="40"/>
        </w:rPr>
        <w:t xml:space="preserve">138.552 </w:t>
      </w:r>
      <w:r>
        <w:rPr>
          <w:sz w:val="40"/>
          <w:szCs w:val="40"/>
        </w:rPr>
        <w:t>veh</w:t>
      </w:r>
      <w:r w:rsidR="007B7101">
        <w:rPr>
          <w:sz w:val="40"/>
          <w:szCs w:val="40"/>
        </w:rPr>
        <w:t>í</w:t>
      </w:r>
      <w:r w:rsidR="00074E19">
        <w:rPr>
          <w:sz w:val="40"/>
          <w:szCs w:val="40"/>
        </w:rPr>
        <w:t>culos usados, una suba del 42,5</w:t>
      </w:r>
      <w:r w:rsidR="007B7101">
        <w:rPr>
          <w:sz w:val="40"/>
          <w:szCs w:val="40"/>
        </w:rPr>
        <w:t xml:space="preserve">% comparado con </w:t>
      </w:r>
      <w:r w:rsidR="00074E19">
        <w:rPr>
          <w:sz w:val="40"/>
          <w:szCs w:val="40"/>
        </w:rPr>
        <w:t>igual mes de 2021 (97.226</w:t>
      </w:r>
      <w:r w:rsidR="00CB1B50">
        <w:rPr>
          <w:sz w:val="40"/>
          <w:szCs w:val="40"/>
        </w:rPr>
        <w:t xml:space="preserve"> unidades).</w:t>
      </w:r>
    </w:p>
    <w:p w:rsidR="00CB1B50" w:rsidRDefault="00CB1B50">
      <w:pPr>
        <w:rPr>
          <w:sz w:val="40"/>
          <w:szCs w:val="40"/>
        </w:rPr>
      </w:pPr>
    </w:p>
    <w:p w:rsidR="007B7101" w:rsidRDefault="00CB1B50">
      <w:pPr>
        <w:rPr>
          <w:sz w:val="40"/>
          <w:szCs w:val="40"/>
        </w:rPr>
      </w:pPr>
      <w:r>
        <w:rPr>
          <w:sz w:val="40"/>
          <w:szCs w:val="40"/>
        </w:rPr>
        <w:t xml:space="preserve">Si </w:t>
      </w:r>
      <w:r w:rsidR="007B7101">
        <w:rPr>
          <w:sz w:val="40"/>
          <w:szCs w:val="40"/>
        </w:rPr>
        <w:t xml:space="preserve">lo comparamos con </w:t>
      </w:r>
      <w:r w:rsidR="00074E19">
        <w:rPr>
          <w:sz w:val="40"/>
          <w:szCs w:val="40"/>
        </w:rPr>
        <w:t>abril 2022 (130.364 vehículos), la suba llega al 6,28</w:t>
      </w:r>
      <w:r w:rsidR="007B7101">
        <w:rPr>
          <w:sz w:val="40"/>
          <w:szCs w:val="40"/>
        </w:rPr>
        <w:t xml:space="preserve">%. </w:t>
      </w:r>
    </w:p>
    <w:p w:rsidR="007B7101" w:rsidRDefault="007B7101">
      <w:pPr>
        <w:rPr>
          <w:sz w:val="40"/>
          <w:szCs w:val="40"/>
        </w:rPr>
      </w:pPr>
    </w:p>
    <w:p w:rsidR="00991930" w:rsidRDefault="00074E19">
      <w:pPr>
        <w:rPr>
          <w:sz w:val="40"/>
          <w:szCs w:val="40"/>
        </w:rPr>
      </w:pPr>
      <w:r>
        <w:rPr>
          <w:sz w:val="40"/>
          <w:szCs w:val="40"/>
        </w:rPr>
        <w:t>En los primeros cinco</w:t>
      </w:r>
      <w:r w:rsidR="00991930">
        <w:rPr>
          <w:sz w:val="40"/>
          <w:szCs w:val="40"/>
        </w:rPr>
        <w:t xml:space="preserve"> mes</w:t>
      </w:r>
      <w:r w:rsidR="00CB1B50">
        <w:rPr>
          <w:sz w:val="40"/>
          <w:szCs w:val="40"/>
        </w:rPr>
        <w:t xml:space="preserve">es del año se vendieron </w:t>
      </w:r>
      <w:r>
        <w:rPr>
          <w:sz w:val="40"/>
          <w:szCs w:val="40"/>
        </w:rPr>
        <w:t xml:space="preserve">648.575 </w:t>
      </w:r>
      <w:r w:rsidR="00991930">
        <w:rPr>
          <w:sz w:val="40"/>
          <w:szCs w:val="40"/>
        </w:rPr>
        <w:t>unidades</w:t>
      </w:r>
      <w:r>
        <w:rPr>
          <w:sz w:val="40"/>
          <w:szCs w:val="40"/>
        </w:rPr>
        <w:t>, una suba del 1,31</w:t>
      </w:r>
      <w:r w:rsidR="00991930">
        <w:rPr>
          <w:sz w:val="40"/>
          <w:szCs w:val="40"/>
        </w:rPr>
        <w:t>% comparado</w:t>
      </w:r>
      <w:r>
        <w:rPr>
          <w:sz w:val="40"/>
          <w:szCs w:val="40"/>
        </w:rPr>
        <w:t xml:space="preserve"> igual período de 2021 (640.208</w:t>
      </w:r>
      <w:r w:rsidR="00CB1B50">
        <w:rPr>
          <w:sz w:val="40"/>
          <w:szCs w:val="40"/>
        </w:rPr>
        <w:t xml:space="preserve"> </w:t>
      </w:r>
      <w:r w:rsidR="00991930">
        <w:rPr>
          <w:sz w:val="40"/>
          <w:szCs w:val="40"/>
        </w:rPr>
        <w:t xml:space="preserve">vehículos). </w:t>
      </w:r>
    </w:p>
    <w:p w:rsidR="005C153E" w:rsidRDefault="00B40D80">
      <w:pPr>
        <w:rPr>
          <w:sz w:val="40"/>
          <w:szCs w:val="40"/>
        </w:rPr>
      </w:pPr>
      <w:r>
        <w:rPr>
          <w:sz w:val="40"/>
          <w:szCs w:val="40"/>
        </w:rPr>
        <w:t xml:space="preserve"> </w:t>
      </w:r>
    </w:p>
    <w:p w:rsidR="007B7101" w:rsidRDefault="007B7101">
      <w:pPr>
        <w:rPr>
          <w:b/>
          <w:sz w:val="36"/>
          <w:szCs w:val="36"/>
          <w:u w:val="single"/>
        </w:rPr>
      </w:pPr>
    </w:p>
    <w:p w:rsidR="007B7101" w:rsidRDefault="007B7101">
      <w:pPr>
        <w:rPr>
          <w:b/>
          <w:sz w:val="36"/>
          <w:szCs w:val="36"/>
          <w:u w:val="single"/>
        </w:rPr>
      </w:pPr>
    </w:p>
    <w:p w:rsidR="00576F1A" w:rsidRDefault="00576F1A" w:rsidP="007B7101">
      <w:pPr>
        <w:rPr>
          <w:b/>
          <w:sz w:val="36"/>
          <w:szCs w:val="36"/>
          <w:u w:val="single"/>
        </w:rPr>
      </w:pPr>
    </w:p>
    <w:p w:rsidR="00576F1A" w:rsidRDefault="00576F1A" w:rsidP="007B7101">
      <w:pPr>
        <w:rPr>
          <w:b/>
          <w:sz w:val="36"/>
          <w:szCs w:val="36"/>
          <w:u w:val="single"/>
        </w:rPr>
      </w:pPr>
    </w:p>
    <w:p w:rsidR="007B7101" w:rsidRPr="005C5DB5" w:rsidRDefault="007B7101" w:rsidP="007B7101">
      <w:pPr>
        <w:rPr>
          <w:b/>
          <w:sz w:val="44"/>
          <w:szCs w:val="44"/>
          <w:u w:val="single"/>
        </w:rPr>
      </w:pPr>
      <w:r w:rsidRPr="005C5DB5">
        <w:rPr>
          <w:b/>
          <w:sz w:val="44"/>
          <w:szCs w:val="44"/>
          <w:u w:val="single"/>
        </w:rPr>
        <w:t>Declaraciones Alberto Príncipe, presidente de la Cáma</w:t>
      </w:r>
      <w:r w:rsidR="005C5DB5">
        <w:rPr>
          <w:b/>
          <w:sz w:val="44"/>
          <w:szCs w:val="44"/>
          <w:u w:val="single"/>
        </w:rPr>
        <w:t>ra del Comercio Automotor (CCA)</w:t>
      </w:r>
    </w:p>
    <w:p w:rsidR="00C13F47" w:rsidRDefault="00C13F47" w:rsidP="00C13F47">
      <w:pPr>
        <w:rPr>
          <w:b/>
          <w:sz w:val="40"/>
          <w:szCs w:val="40"/>
          <w:u w:val="single"/>
        </w:rPr>
      </w:pPr>
    </w:p>
    <w:p w:rsidR="00C13F47" w:rsidRDefault="00C13F47" w:rsidP="00C13F47">
      <w:pPr>
        <w:rPr>
          <w:b/>
          <w:sz w:val="40"/>
          <w:szCs w:val="40"/>
          <w:u w:val="single"/>
        </w:rPr>
      </w:pPr>
    </w:p>
    <w:p w:rsidR="00A63706" w:rsidRDefault="00A63706" w:rsidP="007B7101">
      <w:pPr>
        <w:rPr>
          <w:sz w:val="40"/>
          <w:szCs w:val="40"/>
        </w:rPr>
      </w:pPr>
      <w:r>
        <w:rPr>
          <w:sz w:val="40"/>
          <w:szCs w:val="40"/>
        </w:rPr>
        <w:t>“</w:t>
      </w:r>
      <w:r w:rsidR="00074E19" w:rsidRPr="00074E19">
        <w:rPr>
          <w:sz w:val="40"/>
          <w:szCs w:val="40"/>
        </w:rPr>
        <w:t>La suba de las ventas de autos usados en mayo no lo podemos tomar como crecimiento porque venimos disminuyendo los volúmenes año tras año. Es solo un índice que esperamos que vuelva a crecer en forma continua y considerable</w:t>
      </w:r>
      <w:r>
        <w:rPr>
          <w:sz w:val="40"/>
          <w:szCs w:val="40"/>
        </w:rPr>
        <w:t>”, dijo Alberto Príncipe, presidente de la Cámara del Comercio Automotor.</w:t>
      </w:r>
      <w:r w:rsidR="00074E19" w:rsidRPr="00074E19">
        <w:rPr>
          <w:sz w:val="40"/>
          <w:szCs w:val="40"/>
        </w:rPr>
        <w:t xml:space="preserve"> </w:t>
      </w:r>
    </w:p>
    <w:p w:rsidR="0028066A" w:rsidRDefault="00A63706" w:rsidP="007B7101">
      <w:pPr>
        <w:rPr>
          <w:sz w:val="40"/>
          <w:szCs w:val="40"/>
        </w:rPr>
      </w:pPr>
      <w:r>
        <w:rPr>
          <w:sz w:val="40"/>
          <w:szCs w:val="40"/>
        </w:rPr>
        <w:t>“</w:t>
      </w:r>
      <w:r w:rsidR="00074E19" w:rsidRPr="00074E19">
        <w:rPr>
          <w:sz w:val="40"/>
          <w:szCs w:val="40"/>
        </w:rPr>
        <w:t>Hoy nos encontramos con un sector agonizante, que está usando toda su experiencia e imaginación para reinventarse a las nuevas formas de venta y no llegar al extremo de volver a achicar sus estructuras haciendo peligrar los puestos de trabajo</w:t>
      </w:r>
      <w:r>
        <w:rPr>
          <w:sz w:val="40"/>
          <w:szCs w:val="40"/>
        </w:rPr>
        <w:t>”, expresó el dire</w:t>
      </w:r>
      <w:bookmarkStart w:id="0" w:name="_GoBack"/>
      <w:bookmarkEnd w:id="0"/>
      <w:r>
        <w:rPr>
          <w:sz w:val="40"/>
          <w:szCs w:val="40"/>
        </w:rPr>
        <w:t>ctivo</w:t>
      </w:r>
      <w:r w:rsidR="00074E19" w:rsidRPr="00074E19">
        <w:rPr>
          <w:sz w:val="40"/>
          <w:szCs w:val="40"/>
        </w:rPr>
        <w:t xml:space="preserve">. </w:t>
      </w:r>
      <w:r>
        <w:rPr>
          <w:sz w:val="40"/>
          <w:szCs w:val="40"/>
        </w:rPr>
        <w:t>“</w:t>
      </w:r>
      <w:r w:rsidR="00074E19" w:rsidRPr="00074E19">
        <w:rPr>
          <w:sz w:val="40"/>
          <w:szCs w:val="40"/>
        </w:rPr>
        <w:t>Sabemos de la voluntad del gobierno para que esto no suceda, pero no vislumbramos a corto plazo un cambio importante en la medida que la situación macroeconómica del país no mejore</w:t>
      </w:r>
      <w:r>
        <w:rPr>
          <w:sz w:val="40"/>
          <w:szCs w:val="40"/>
        </w:rPr>
        <w:t>”, mencionó Príncipe</w:t>
      </w:r>
      <w:r w:rsidR="00074E19" w:rsidRPr="00074E19">
        <w:rPr>
          <w:sz w:val="40"/>
          <w:szCs w:val="40"/>
        </w:rPr>
        <w:t>.</w:t>
      </w:r>
    </w:p>
    <w:p w:rsidR="007B7101" w:rsidRPr="00A308B8" w:rsidRDefault="007B7101">
      <w:pPr>
        <w:rPr>
          <w:b/>
          <w:sz w:val="40"/>
          <w:szCs w:val="40"/>
          <w:u w:val="single"/>
        </w:rPr>
      </w:pPr>
    </w:p>
    <w:p w:rsidR="007B7101" w:rsidRPr="00A308B8" w:rsidRDefault="007B7101">
      <w:pPr>
        <w:rPr>
          <w:sz w:val="40"/>
          <w:szCs w:val="40"/>
        </w:rPr>
      </w:pPr>
    </w:p>
    <w:p w:rsidR="00C13F47" w:rsidRDefault="00C13F47">
      <w:pPr>
        <w:rPr>
          <w:b/>
          <w:bCs/>
          <w:sz w:val="40"/>
          <w:szCs w:val="40"/>
          <w:u w:val="single"/>
        </w:rPr>
      </w:pPr>
    </w:p>
    <w:p w:rsidR="005C153E" w:rsidRPr="00A308B8" w:rsidRDefault="00B40D80">
      <w:pPr>
        <w:rPr>
          <w:b/>
          <w:bCs/>
          <w:sz w:val="40"/>
          <w:szCs w:val="40"/>
          <w:lang w:val="es-AR"/>
        </w:rPr>
      </w:pPr>
      <w:r w:rsidRPr="00A308B8">
        <w:rPr>
          <w:b/>
          <w:bCs/>
          <w:sz w:val="40"/>
          <w:szCs w:val="40"/>
          <w:u w:val="single"/>
        </w:rPr>
        <w:t>RANKING</w:t>
      </w:r>
      <w:r w:rsidR="00991930" w:rsidRPr="00A308B8">
        <w:rPr>
          <w:b/>
          <w:bCs/>
          <w:sz w:val="40"/>
          <w:szCs w:val="40"/>
          <w:u w:val="single"/>
        </w:rPr>
        <w:t xml:space="preserve"> 10 USADOS MÁS VENDIDOS EN </w:t>
      </w:r>
      <w:r w:rsidR="00576F1A">
        <w:rPr>
          <w:b/>
          <w:bCs/>
          <w:sz w:val="40"/>
          <w:szCs w:val="40"/>
          <w:u w:val="single"/>
        </w:rPr>
        <w:t>MAYO</w:t>
      </w:r>
      <w:r w:rsidR="0028066A" w:rsidRPr="00A308B8">
        <w:rPr>
          <w:b/>
          <w:bCs/>
          <w:sz w:val="40"/>
          <w:szCs w:val="40"/>
          <w:u w:val="single"/>
        </w:rPr>
        <w:t xml:space="preserve"> </w:t>
      </w:r>
      <w:r w:rsidRPr="00A308B8">
        <w:rPr>
          <w:b/>
          <w:bCs/>
          <w:sz w:val="40"/>
          <w:szCs w:val="40"/>
          <w:u w:val="single"/>
        </w:rPr>
        <w:t>2022</w:t>
      </w:r>
    </w:p>
    <w:p w:rsidR="005C153E" w:rsidRPr="00A308B8" w:rsidRDefault="005C153E">
      <w:pPr>
        <w:rPr>
          <w:sz w:val="40"/>
          <w:szCs w:val="40"/>
          <w:lang w:val="es-AR"/>
        </w:rPr>
      </w:pPr>
    </w:p>
    <w:p w:rsidR="00576F1A" w:rsidRDefault="00576F1A">
      <w:pPr>
        <w:rPr>
          <w:sz w:val="40"/>
          <w:szCs w:val="40"/>
          <w:lang w:val="en-US"/>
        </w:rPr>
      </w:pPr>
      <w:r>
        <w:rPr>
          <w:sz w:val="40"/>
          <w:szCs w:val="40"/>
          <w:lang w:val="en-US"/>
        </w:rPr>
        <w:t xml:space="preserve">1-VW </w:t>
      </w:r>
      <w:proofErr w:type="spellStart"/>
      <w:r>
        <w:rPr>
          <w:sz w:val="40"/>
          <w:szCs w:val="40"/>
          <w:lang w:val="en-US"/>
        </w:rPr>
        <w:t>Gol</w:t>
      </w:r>
      <w:proofErr w:type="spellEnd"/>
      <w:r>
        <w:rPr>
          <w:sz w:val="40"/>
          <w:szCs w:val="40"/>
          <w:lang w:val="en-US"/>
        </w:rPr>
        <w:t xml:space="preserve"> y Trend: 8.262</w:t>
      </w:r>
    </w:p>
    <w:p w:rsidR="005356C8" w:rsidRDefault="005356C8">
      <w:pPr>
        <w:rPr>
          <w:sz w:val="40"/>
          <w:szCs w:val="40"/>
          <w:lang w:val="en-US"/>
        </w:rPr>
      </w:pPr>
      <w:r>
        <w:rPr>
          <w:sz w:val="40"/>
          <w:szCs w:val="40"/>
          <w:lang w:val="en-US"/>
        </w:rPr>
        <w:t xml:space="preserve">2-Chevrolet </w:t>
      </w:r>
      <w:proofErr w:type="spellStart"/>
      <w:r>
        <w:rPr>
          <w:sz w:val="40"/>
          <w:szCs w:val="40"/>
          <w:lang w:val="en-US"/>
        </w:rPr>
        <w:t>Corsa</w:t>
      </w:r>
      <w:proofErr w:type="spellEnd"/>
      <w:r>
        <w:rPr>
          <w:sz w:val="40"/>
          <w:szCs w:val="40"/>
          <w:lang w:val="en-US"/>
        </w:rPr>
        <w:t xml:space="preserve"> y Classic: </w:t>
      </w:r>
      <w:r w:rsidR="00576F1A">
        <w:rPr>
          <w:sz w:val="40"/>
          <w:szCs w:val="40"/>
          <w:lang w:val="en-US"/>
        </w:rPr>
        <w:t>4.927</w:t>
      </w:r>
    </w:p>
    <w:p w:rsidR="005356C8" w:rsidRDefault="005356C8">
      <w:pPr>
        <w:rPr>
          <w:sz w:val="40"/>
          <w:szCs w:val="40"/>
          <w:lang w:val="en-US"/>
        </w:rPr>
      </w:pPr>
      <w:r>
        <w:rPr>
          <w:sz w:val="40"/>
          <w:szCs w:val="40"/>
          <w:lang w:val="en-US"/>
        </w:rPr>
        <w:t xml:space="preserve">3-Toyota Hilux: </w:t>
      </w:r>
      <w:r w:rsidR="00576F1A">
        <w:rPr>
          <w:sz w:val="40"/>
          <w:szCs w:val="40"/>
          <w:lang w:val="en-US"/>
        </w:rPr>
        <w:t>4.128</w:t>
      </w:r>
    </w:p>
    <w:p w:rsidR="005356C8" w:rsidRDefault="005356C8">
      <w:pPr>
        <w:rPr>
          <w:sz w:val="40"/>
          <w:szCs w:val="40"/>
          <w:lang w:val="en-US"/>
        </w:rPr>
      </w:pPr>
      <w:r>
        <w:rPr>
          <w:sz w:val="40"/>
          <w:szCs w:val="40"/>
          <w:lang w:val="en-US"/>
        </w:rPr>
        <w:t xml:space="preserve">4-Renault Clio: </w:t>
      </w:r>
      <w:r w:rsidR="00576F1A">
        <w:rPr>
          <w:sz w:val="40"/>
          <w:szCs w:val="40"/>
          <w:lang w:val="en-US"/>
        </w:rPr>
        <w:t>3.520</w:t>
      </w:r>
    </w:p>
    <w:p w:rsidR="005356C8" w:rsidRDefault="005356C8">
      <w:pPr>
        <w:rPr>
          <w:sz w:val="40"/>
          <w:szCs w:val="40"/>
          <w:lang w:val="en-US"/>
        </w:rPr>
      </w:pPr>
      <w:r>
        <w:rPr>
          <w:sz w:val="40"/>
          <w:szCs w:val="40"/>
          <w:lang w:val="en-US"/>
        </w:rPr>
        <w:t xml:space="preserve">5-Ford Fiesta: </w:t>
      </w:r>
      <w:r w:rsidR="00576F1A">
        <w:rPr>
          <w:sz w:val="40"/>
          <w:szCs w:val="40"/>
          <w:lang w:val="en-US"/>
        </w:rPr>
        <w:t>3.310</w:t>
      </w:r>
    </w:p>
    <w:p w:rsidR="005356C8" w:rsidRDefault="005356C8">
      <w:pPr>
        <w:rPr>
          <w:sz w:val="40"/>
          <w:szCs w:val="40"/>
          <w:lang w:val="en-US"/>
        </w:rPr>
      </w:pPr>
      <w:r>
        <w:rPr>
          <w:sz w:val="40"/>
          <w:szCs w:val="40"/>
          <w:lang w:val="en-US"/>
        </w:rPr>
        <w:t xml:space="preserve">6-Fiat </w:t>
      </w:r>
      <w:proofErr w:type="spellStart"/>
      <w:r>
        <w:rPr>
          <w:sz w:val="40"/>
          <w:szCs w:val="40"/>
          <w:lang w:val="en-US"/>
        </w:rPr>
        <w:t>Palio</w:t>
      </w:r>
      <w:proofErr w:type="spellEnd"/>
      <w:r>
        <w:rPr>
          <w:sz w:val="40"/>
          <w:szCs w:val="40"/>
          <w:lang w:val="en-US"/>
        </w:rPr>
        <w:t xml:space="preserve">: </w:t>
      </w:r>
      <w:r w:rsidR="00576F1A">
        <w:rPr>
          <w:sz w:val="40"/>
          <w:szCs w:val="40"/>
          <w:lang w:val="en-US"/>
        </w:rPr>
        <w:t>2.999</w:t>
      </w:r>
    </w:p>
    <w:p w:rsidR="005356C8" w:rsidRDefault="005356C8">
      <w:pPr>
        <w:rPr>
          <w:sz w:val="40"/>
          <w:szCs w:val="40"/>
          <w:lang w:val="en-US"/>
        </w:rPr>
      </w:pPr>
      <w:r>
        <w:rPr>
          <w:sz w:val="40"/>
          <w:szCs w:val="40"/>
          <w:lang w:val="en-US"/>
        </w:rPr>
        <w:t xml:space="preserve">7-Ford Ranger: </w:t>
      </w:r>
      <w:r w:rsidR="00576F1A">
        <w:rPr>
          <w:sz w:val="40"/>
          <w:szCs w:val="40"/>
          <w:lang w:val="en-US"/>
        </w:rPr>
        <w:t>2.876</w:t>
      </w:r>
    </w:p>
    <w:p w:rsidR="00576F1A" w:rsidRDefault="005356C8">
      <w:pPr>
        <w:rPr>
          <w:sz w:val="40"/>
          <w:szCs w:val="40"/>
          <w:lang w:val="en-US"/>
        </w:rPr>
      </w:pPr>
      <w:r>
        <w:rPr>
          <w:sz w:val="40"/>
          <w:szCs w:val="40"/>
          <w:lang w:val="en-US"/>
        </w:rPr>
        <w:t xml:space="preserve">8-Ford </w:t>
      </w:r>
      <w:proofErr w:type="spellStart"/>
      <w:r w:rsidR="00576F1A">
        <w:rPr>
          <w:sz w:val="40"/>
          <w:szCs w:val="40"/>
          <w:lang w:val="en-US"/>
        </w:rPr>
        <w:t>EcoSport</w:t>
      </w:r>
      <w:proofErr w:type="spellEnd"/>
      <w:r w:rsidR="00576F1A">
        <w:rPr>
          <w:sz w:val="40"/>
          <w:szCs w:val="40"/>
          <w:lang w:val="en-US"/>
        </w:rPr>
        <w:t>: 2.729</w:t>
      </w:r>
    </w:p>
    <w:p w:rsidR="005356C8" w:rsidRDefault="005356C8">
      <w:pPr>
        <w:rPr>
          <w:sz w:val="40"/>
          <w:szCs w:val="40"/>
          <w:lang w:val="en-US"/>
        </w:rPr>
      </w:pPr>
      <w:r>
        <w:rPr>
          <w:sz w:val="40"/>
          <w:szCs w:val="40"/>
          <w:lang w:val="en-US"/>
        </w:rPr>
        <w:t xml:space="preserve">9-Ford </w:t>
      </w:r>
      <w:proofErr w:type="spellStart"/>
      <w:r>
        <w:rPr>
          <w:sz w:val="40"/>
          <w:szCs w:val="40"/>
          <w:lang w:val="en-US"/>
        </w:rPr>
        <w:t>Ka</w:t>
      </w:r>
      <w:proofErr w:type="spellEnd"/>
      <w:r>
        <w:rPr>
          <w:sz w:val="40"/>
          <w:szCs w:val="40"/>
          <w:lang w:val="en-US"/>
        </w:rPr>
        <w:t xml:space="preserve">: </w:t>
      </w:r>
      <w:r w:rsidR="00576F1A">
        <w:rPr>
          <w:sz w:val="40"/>
          <w:szCs w:val="40"/>
          <w:lang w:val="en-US"/>
        </w:rPr>
        <w:t>2.556</w:t>
      </w:r>
    </w:p>
    <w:p w:rsidR="005356C8" w:rsidRDefault="00576F1A">
      <w:pPr>
        <w:rPr>
          <w:sz w:val="40"/>
          <w:szCs w:val="40"/>
          <w:lang w:val="en-US"/>
        </w:rPr>
      </w:pPr>
      <w:r>
        <w:rPr>
          <w:sz w:val="40"/>
          <w:szCs w:val="40"/>
          <w:lang w:val="en-US"/>
        </w:rPr>
        <w:t>10-Toyota Corolla</w:t>
      </w:r>
      <w:r w:rsidR="005356C8">
        <w:rPr>
          <w:sz w:val="40"/>
          <w:szCs w:val="40"/>
          <w:lang w:val="en-US"/>
        </w:rPr>
        <w:t xml:space="preserve">: </w:t>
      </w:r>
      <w:r>
        <w:rPr>
          <w:sz w:val="40"/>
          <w:szCs w:val="40"/>
          <w:lang w:val="en-US"/>
        </w:rPr>
        <w:t>2.531</w:t>
      </w:r>
    </w:p>
    <w:p w:rsidR="005356C8" w:rsidRDefault="005356C8">
      <w:pPr>
        <w:rPr>
          <w:sz w:val="40"/>
          <w:szCs w:val="40"/>
          <w:lang w:val="en-US"/>
        </w:rPr>
      </w:pPr>
    </w:p>
    <w:p w:rsidR="005356C8" w:rsidRPr="00A47032" w:rsidRDefault="005356C8">
      <w:pPr>
        <w:rPr>
          <w:sz w:val="40"/>
          <w:szCs w:val="40"/>
          <w:lang w:val="en-US"/>
        </w:rPr>
      </w:pPr>
    </w:p>
    <w:p w:rsidR="005C153E" w:rsidRPr="00A47032" w:rsidRDefault="00E1296C">
      <w:pPr>
        <w:rPr>
          <w:sz w:val="40"/>
          <w:szCs w:val="40"/>
          <w:u w:val="single"/>
        </w:rPr>
      </w:pPr>
      <w:r w:rsidRPr="00A47032">
        <w:rPr>
          <w:b/>
          <w:bCs/>
          <w:sz w:val="40"/>
          <w:szCs w:val="40"/>
          <w:u w:val="single"/>
          <w:lang w:val="es-AR"/>
        </w:rPr>
        <w:t>PR</w:t>
      </w:r>
      <w:r w:rsidR="00A47032" w:rsidRPr="00A47032">
        <w:rPr>
          <w:b/>
          <w:bCs/>
          <w:sz w:val="40"/>
          <w:szCs w:val="40"/>
          <w:u w:val="single"/>
          <w:lang w:val="es-AR"/>
        </w:rPr>
        <w:t xml:space="preserve">OVINCIAS QUE SUBIERON EN </w:t>
      </w:r>
      <w:r w:rsidR="00576F1A">
        <w:rPr>
          <w:b/>
          <w:bCs/>
          <w:sz w:val="40"/>
          <w:szCs w:val="40"/>
          <w:u w:val="single"/>
          <w:lang w:val="es-AR"/>
        </w:rPr>
        <w:t xml:space="preserve">ENERO-MAYO </w:t>
      </w:r>
      <w:r w:rsidR="0082668C" w:rsidRPr="00A47032">
        <w:rPr>
          <w:b/>
          <w:bCs/>
          <w:sz w:val="40"/>
          <w:szCs w:val="40"/>
          <w:u w:val="single"/>
          <w:lang w:val="es-AR"/>
        </w:rPr>
        <w:t>2022</w:t>
      </w:r>
    </w:p>
    <w:p w:rsidR="005C153E" w:rsidRDefault="005C153E">
      <w:pPr>
        <w:rPr>
          <w:b/>
          <w:bCs/>
          <w:sz w:val="40"/>
          <w:szCs w:val="40"/>
          <w:u w:val="single"/>
          <w:lang w:val="es-AR"/>
        </w:rPr>
      </w:pPr>
    </w:p>
    <w:p w:rsidR="00576F1A" w:rsidRDefault="00576F1A">
      <w:pPr>
        <w:rPr>
          <w:bCs/>
          <w:sz w:val="40"/>
          <w:szCs w:val="40"/>
          <w:lang w:val="es-AR"/>
        </w:rPr>
      </w:pPr>
      <w:r w:rsidRPr="00576F1A">
        <w:rPr>
          <w:bCs/>
          <w:sz w:val="40"/>
          <w:szCs w:val="40"/>
          <w:lang w:val="es-AR"/>
        </w:rPr>
        <w:t xml:space="preserve">Formosa: </w:t>
      </w:r>
      <w:r>
        <w:rPr>
          <w:bCs/>
          <w:sz w:val="40"/>
          <w:szCs w:val="40"/>
          <w:lang w:val="es-AR"/>
        </w:rPr>
        <w:t>51,49%</w:t>
      </w:r>
    </w:p>
    <w:p w:rsidR="00576F1A" w:rsidRDefault="00576F1A">
      <w:pPr>
        <w:rPr>
          <w:bCs/>
          <w:sz w:val="40"/>
          <w:szCs w:val="40"/>
          <w:lang w:val="es-AR"/>
        </w:rPr>
      </w:pPr>
      <w:r>
        <w:rPr>
          <w:bCs/>
          <w:sz w:val="40"/>
          <w:szCs w:val="40"/>
          <w:lang w:val="es-AR"/>
        </w:rPr>
        <w:t>Santa Cruz: 15,49%</w:t>
      </w:r>
    </w:p>
    <w:p w:rsidR="00576F1A" w:rsidRDefault="00576F1A">
      <w:pPr>
        <w:rPr>
          <w:bCs/>
          <w:sz w:val="40"/>
          <w:szCs w:val="40"/>
          <w:lang w:val="es-AR"/>
        </w:rPr>
      </w:pPr>
      <w:r>
        <w:rPr>
          <w:bCs/>
          <w:sz w:val="40"/>
          <w:szCs w:val="40"/>
          <w:lang w:val="es-AR"/>
        </w:rPr>
        <w:t>Corrientes: 9,06%</w:t>
      </w:r>
    </w:p>
    <w:p w:rsidR="00576F1A" w:rsidRDefault="00576F1A">
      <w:pPr>
        <w:rPr>
          <w:bCs/>
          <w:sz w:val="40"/>
          <w:szCs w:val="40"/>
          <w:lang w:val="es-AR"/>
        </w:rPr>
      </w:pPr>
    </w:p>
    <w:p w:rsidR="00A63706" w:rsidRDefault="00A63706">
      <w:pPr>
        <w:rPr>
          <w:bCs/>
          <w:sz w:val="40"/>
          <w:szCs w:val="40"/>
          <w:lang w:val="es-AR"/>
        </w:rPr>
      </w:pPr>
    </w:p>
    <w:p w:rsidR="00A63706" w:rsidRDefault="00A63706">
      <w:pPr>
        <w:rPr>
          <w:bCs/>
          <w:sz w:val="40"/>
          <w:szCs w:val="40"/>
          <w:lang w:val="es-AR"/>
        </w:rPr>
      </w:pPr>
    </w:p>
    <w:p w:rsidR="00576F1A" w:rsidRDefault="00576F1A">
      <w:pPr>
        <w:rPr>
          <w:bCs/>
          <w:sz w:val="40"/>
          <w:szCs w:val="40"/>
          <w:lang w:val="es-AR"/>
        </w:rPr>
      </w:pPr>
      <w:r>
        <w:rPr>
          <w:bCs/>
          <w:sz w:val="40"/>
          <w:szCs w:val="40"/>
          <w:lang w:val="es-AR"/>
        </w:rPr>
        <w:t>Catamarca: 4,93%</w:t>
      </w:r>
    </w:p>
    <w:p w:rsidR="00576F1A" w:rsidRDefault="00576F1A">
      <w:pPr>
        <w:rPr>
          <w:bCs/>
          <w:sz w:val="40"/>
          <w:szCs w:val="40"/>
          <w:lang w:val="es-AR"/>
        </w:rPr>
      </w:pPr>
      <w:r>
        <w:rPr>
          <w:bCs/>
          <w:sz w:val="40"/>
          <w:szCs w:val="40"/>
          <w:lang w:val="es-AR"/>
        </w:rPr>
        <w:t>CABA: 4,57%</w:t>
      </w:r>
    </w:p>
    <w:p w:rsidR="00576F1A" w:rsidRDefault="00576F1A">
      <w:pPr>
        <w:rPr>
          <w:bCs/>
          <w:sz w:val="40"/>
          <w:szCs w:val="40"/>
          <w:lang w:val="es-AR"/>
        </w:rPr>
      </w:pPr>
      <w:r>
        <w:rPr>
          <w:bCs/>
          <w:sz w:val="40"/>
          <w:szCs w:val="40"/>
          <w:lang w:val="es-AR"/>
        </w:rPr>
        <w:t>Chaco: 4,12%</w:t>
      </w:r>
    </w:p>
    <w:p w:rsidR="00576F1A" w:rsidRDefault="00576F1A">
      <w:pPr>
        <w:rPr>
          <w:bCs/>
          <w:sz w:val="40"/>
          <w:szCs w:val="40"/>
          <w:lang w:val="es-AR"/>
        </w:rPr>
      </w:pPr>
      <w:r>
        <w:rPr>
          <w:bCs/>
          <w:sz w:val="40"/>
          <w:szCs w:val="40"/>
          <w:lang w:val="es-AR"/>
        </w:rPr>
        <w:t>Neuquén: 3,69%</w:t>
      </w:r>
    </w:p>
    <w:p w:rsidR="00576F1A" w:rsidRDefault="00576F1A">
      <w:pPr>
        <w:rPr>
          <w:bCs/>
          <w:sz w:val="40"/>
          <w:szCs w:val="40"/>
          <w:lang w:val="es-AR"/>
        </w:rPr>
      </w:pPr>
      <w:r>
        <w:rPr>
          <w:bCs/>
          <w:sz w:val="40"/>
          <w:szCs w:val="40"/>
          <w:lang w:val="es-AR"/>
        </w:rPr>
        <w:t>Tucumán: 3,16%</w:t>
      </w:r>
    </w:p>
    <w:p w:rsidR="00576F1A" w:rsidRDefault="00DD4578">
      <w:pPr>
        <w:rPr>
          <w:bCs/>
          <w:sz w:val="40"/>
          <w:szCs w:val="40"/>
          <w:lang w:val="es-AR"/>
        </w:rPr>
      </w:pPr>
      <w:r>
        <w:rPr>
          <w:bCs/>
          <w:sz w:val="40"/>
          <w:szCs w:val="40"/>
          <w:lang w:val="es-AR"/>
        </w:rPr>
        <w:t>Misiones: 2,49%</w:t>
      </w:r>
    </w:p>
    <w:p w:rsidR="00DD4578" w:rsidRDefault="00DD4578">
      <w:pPr>
        <w:rPr>
          <w:bCs/>
          <w:sz w:val="40"/>
          <w:szCs w:val="40"/>
          <w:lang w:val="es-AR"/>
        </w:rPr>
      </w:pPr>
      <w:r>
        <w:rPr>
          <w:bCs/>
          <w:sz w:val="40"/>
          <w:szCs w:val="40"/>
          <w:lang w:val="es-AR"/>
        </w:rPr>
        <w:t>Córdoba: 2,03%</w:t>
      </w:r>
    </w:p>
    <w:p w:rsidR="00DD4578" w:rsidRDefault="00DD4578">
      <w:pPr>
        <w:rPr>
          <w:bCs/>
          <w:sz w:val="40"/>
          <w:szCs w:val="40"/>
          <w:lang w:val="es-AR"/>
        </w:rPr>
      </w:pPr>
      <w:proofErr w:type="spellStart"/>
      <w:r>
        <w:rPr>
          <w:bCs/>
          <w:sz w:val="40"/>
          <w:szCs w:val="40"/>
          <w:lang w:val="es-AR"/>
        </w:rPr>
        <w:t>Pcia</w:t>
      </w:r>
      <w:proofErr w:type="spellEnd"/>
      <w:r>
        <w:rPr>
          <w:bCs/>
          <w:sz w:val="40"/>
          <w:szCs w:val="40"/>
          <w:lang w:val="es-AR"/>
        </w:rPr>
        <w:t>. Bs.As.: 1,41%</w:t>
      </w:r>
    </w:p>
    <w:p w:rsidR="00DD4578" w:rsidRPr="00576F1A" w:rsidRDefault="00DD4578">
      <w:pPr>
        <w:rPr>
          <w:bCs/>
          <w:sz w:val="40"/>
          <w:szCs w:val="40"/>
          <w:lang w:val="es-AR"/>
        </w:rPr>
      </w:pPr>
      <w:r>
        <w:rPr>
          <w:bCs/>
          <w:sz w:val="40"/>
          <w:szCs w:val="40"/>
          <w:lang w:val="es-AR"/>
        </w:rPr>
        <w:t>San Luis: 0,59%</w:t>
      </w:r>
    </w:p>
    <w:p w:rsidR="00E1296C" w:rsidRPr="00A47032" w:rsidRDefault="00E1296C">
      <w:pPr>
        <w:rPr>
          <w:sz w:val="40"/>
          <w:szCs w:val="40"/>
          <w:lang w:val="es-AR"/>
        </w:rPr>
      </w:pPr>
    </w:p>
    <w:p w:rsidR="00A63706" w:rsidRDefault="00A63706">
      <w:pPr>
        <w:rPr>
          <w:b/>
          <w:bCs/>
          <w:sz w:val="40"/>
          <w:szCs w:val="40"/>
          <w:u w:val="single"/>
        </w:rPr>
      </w:pPr>
    </w:p>
    <w:p w:rsidR="00A63706" w:rsidRDefault="00A63706">
      <w:pPr>
        <w:rPr>
          <w:b/>
          <w:bCs/>
          <w:sz w:val="40"/>
          <w:szCs w:val="40"/>
          <w:u w:val="single"/>
        </w:rPr>
      </w:pPr>
    </w:p>
    <w:p w:rsidR="005C153E" w:rsidRDefault="00E1296C">
      <w:pPr>
        <w:rPr>
          <w:b/>
          <w:bCs/>
          <w:sz w:val="40"/>
          <w:szCs w:val="40"/>
          <w:u w:val="single"/>
        </w:rPr>
      </w:pPr>
      <w:r w:rsidRPr="00A47032">
        <w:rPr>
          <w:b/>
          <w:bCs/>
          <w:sz w:val="40"/>
          <w:szCs w:val="40"/>
          <w:u w:val="single"/>
        </w:rPr>
        <w:t>P</w:t>
      </w:r>
      <w:r w:rsidR="00A47032">
        <w:rPr>
          <w:b/>
          <w:bCs/>
          <w:sz w:val="40"/>
          <w:szCs w:val="40"/>
          <w:u w:val="single"/>
        </w:rPr>
        <w:t xml:space="preserve">ROVINCIAS QUE BAJARON EN </w:t>
      </w:r>
      <w:r w:rsidR="00D57027">
        <w:rPr>
          <w:b/>
          <w:bCs/>
          <w:sz w:val="40"/>
          <w:szCs w:val="40"/>
          <w:u w:val="single"/>
        </w:rPr>
        <w:t>ENERO-</w:t>
      </w:r>
      <w:r w:rsidR="00DD4578">
        <w:rPr>
          <w:b/>
          <w:bCs/>
          <w:sz w:val="40"/>
          <w:szCs w:val="40"/>
          <w:u w:val="single"/>
        </w:rPr>
        <w:t xml:space="preserve">MAYO </w:t>
      </w:r>
      <w:r w:rsidR="0082668C" w:rsidRPr="00A47032">
        <w:rPr>
          <w:b/>
          <w:bCs/>
          <w:sz w:val="40"/>
          <w:szCs w:val="40"/>
          <w:u w:val="single"/>
        </w:rPr>
        <w:t>2022</w:t>
      </w:r>
    </w:p>
    <w:p w:rsidR="00DD4578" w:rsidRDefault="00DD4578">
      <w:pPr>
        <w:rPr>
          <w:b/>
          <w:bCs/>
          <w:sz w:val="40"/>
          <w:szCs w:val="40"/>
          <w:u w:val="single"/>
        </w:rPr>
      </w:pPr>
    </w:p>
    <w:p w:rsidR="00DD4578" w:rsidRDefault="00DD4578">
      <w:pPr>
        <w:rPr>
          <w:bCs/>
          <w:sz w:val="40"/>
          <w:szCs w:val="40"/>
        </w:rPr>
      </w:pPr>
      <w:r w:rsidRPr="00DD4578">
        <w:rPr>
          <w:bCs/>
          <w:sz w:val="40"/>
          <w:szCs w:val="40"/>
        </w:rPr>
        <w:t xml:space="preserve">Chubut: </w:t>
      </w:r>
      <w:r>
        <w:rPr>
          <w:bCs/>
          <w:sz w:val="40"/>
          <w:szCs w:val="40"/>
        </w:rPr>
        <w:t>8,99%</w:t>
      </w:r>
    </w:p>
    <w:p w:rsidR="00DD4578" w:rsidRDefault="00DD4578">
      <w:pPr>
        <w:rPr>
          <w:bCs/>
          <w:sz w:val="40"/>
          <w:szCs w:val="40"/>
        </w:rPr>
      </w:pPr>
      <w:r>
        <w:rPr>
          <w:bCs/>
          <w:sz w:val="40"/>
          <w:szCs w:val="40"/>
        </w:rPr>
        <w:t>Santiago del Estero: 7,46%</w:t>
      </w:r>
    </w:p>
    <w:p w:rsidR="00DD4578" w:rsidRDefault="00DD4578">
      <w:pPr>
        <w:rPr>
          <w:bCs/>
          <w:sz w:val="40"/>
          <w:szCs w:val="40"/>
        </w:rPr>
      </w:pPr>
      <w:r>
        <w:rPr>
          <w:bCs/>
          <w:sz w:val="40"/>
          <w:szCs w:val="40"/>
        </w:rPr>
        <w:t>Tierra del Fuego: 3,95%</w:t>
      </w:r>
    </w:p>
    <w:p w:rsidR="00DD4578" w:rsidRDefault="00DD4578">
      <w:pPr>
        <w:rPr>
          <w:bCs/>
          <w:sz w:val="40"/>
          <w:szCs w:val="40"/>
        </w:rPr>
      </w:pPr>
      <w:r>
        <w:rPr>
          <w:bCs/>
          <w:sz w:val="40"/>
          <w:szCs w:val="40"/>
        </w:rPr>
        <w:t>La Rioja: 3,47%</w:t>
      </w:r>
    </w:p>
    <w:p w:rsidR="00DD4578" w:rsidRDefault="00DD4578">
      <w:pPr>
        <w:rPr>
          <w:bCs/>
          <w:sz w:val="40"/>
          <w:szCs w:val="40"/>
        </w:rPr>
      </w:pPr>
      <w:r>
        <w:rPr>
          <w:bCs/>
          <w:sz w:val="40"/>
          <w:szCs w:val="40"/>
        </w:rPr>
        <w:t>Jujuy: 2,52%</w:t>
      </w:r>
    </w:p>
    <w:p w:rsidR="00DD4578" w:rsidRDefault="00DD4578">
      <w:pPr>
        <w:rPr>
          <w:bCs/>
          <w:sz w:val="40"/>
          <w:szCs w:val="40"/>
        </w:rPr>
      </w:pPr>
      <w:r>
        <w:rPr>
          <w:bCs/>
          <w:sz w:val="40"/>
          <w:szCs w:val="40"/>
        </w:rPr>
        <w:t>San Juan: 2,33%</w:t>
      </w:r>
    </w:p>
    <w:p w:rsidR="00A63706" w:rsidRDefault="00A63706">
      <w:pPr>
        <w:rPr>
          <w:bCs/>
          <w:sz w:val="40"/>
          <w:szCs w:val="40"/>
        </w:rPr>
      </w:pPr>
    </w:p>
    <w:p w:rsidR="00A63706" w:rsidRDefault="00A63706">
      <w:pPr>
        <w:rPr>
          <w:bCs/>
          <w:sz w:val="40"/>
          <w:szCs w:val="40"/>
        </w:rPr>
      </w:pPr>
    </w:p>
    <w:p w:rsidR="00A63706" w:rsidRDefault="00A63706">
      <w:pPr>
        <w:rPr>
          <w:bCs/>
          <w:sz w:val="40"/>
          <w:szCs w:val="40"/>
        </w:rPr>
      </w:pPr>
    </w:p>
    <w:p w:rsidR="00DD4578" w:rsidRDefault="00DD4578">
      <w:pPr>
        <w:rPr>
          <w:bCs/>
          <w:sz w:val="40"/>
          <w:szCs w:val="40"/>
        </w:rPr>
      </w:pPr>
      <w:r>
        <w:rPr>
          <w:bCs/>
          <w:sz w:val="40"/>
          <w:szCs w:val="40"/>
        </w:rPr>
        <w:t>Salta: 2,16%</w:t>
      </w:r>
    </w:p>
    <w:p w:rsidR="00DD4578" w:rsidRDefault="00DD4578">
      <w:pPr>
        <w:rPr>
          <w:bCs/>
          <w:sz w:val="40"/>
          <w:szCs w:val="40"/>
        </w:rPr>
      </w:pPr>
      <w:r>
        <w:rPr>
          <w:bCs/>
          <w:sz w:val="40"/>
          <w:szCs w:val="40"/>
        </w:rPr>
        <w:t>Río Negro: 1,77%</w:t>
      </w:r>
    </w:p>
    <w:p w:rsidR="00DD4578" w:rsidRDefault="00DD4578">
      <w:pPr>
        <w:rPr>
          <w:bCs/>
          <w:sz w:val="40"/>
          <w:szCs w:val="40"/>
        </w:rPr>
      </w:pPr>
      <w:r>
        <w:rPr>
          <w:bCs/>
          <w:sz w:val="40"/>
          <w:szCs w:val="40"/>
        </w:rPr>
        <w:t>Mendoza: 1,57%</w:t>
      </w:r>
    </w:p>
    <w:p w:rsidR="00DD4578" w:rsidRDefault="00DD4578">
      <w:pPr>
        <w:rPr>
          <w:bCs/>
          <w:sz w:val="40"/>
          <w:szCs w:val="40"/>
        </w:rPr>
      </w:pPr>
      <w:r>
        <w:rPr>
          <w:bCs/>
          <w:sz w:val="40"/>
          <w:szCs w:val="40"/>
        </w:rPr>
        <w:t>La Pampa: 1,33%</w:t>
      </w:r>
    </w:p>
    <w:p w:rsidR="00DD4578" w:rsidRDefault="00DD4578">
      <w:pPr>
        <w:rPr>
          <w:bCs/>
          <w:sz w:val="40"/>
          <w:szCs w:val="40"/>
        </w:rPr>
      </w:pPr>
      <w:r>
        <w:rPr>
          <w:bCs/>
          <w:sz w:val="40"/>
          <w:szCs w:val="40"/>
        </w:rPr>
        <w:t>Entre Ríos: 1,27%</w:t>
      </w:r>
    </w:p>
    <w:p w:rsidR="00DD4578" w:rsidRDefault="00DD4578">
      <w:pPr>
        <w:rPr>
          <w:bCs/>
          <w:sz w:val="40"/>
          <w:szCs w:val="40"/>
        </w:rPr>
      </w:pPr>
      <w:r>
        <w:rPr>
          <w:bCs/>
          <w:sz w:val="40"/>
          <w:szCs w:val="40"/>
        </w:rPr>
        <w:t>Santa Fe: 0,36%</w:t>
      </w:r>
    </w:p>
    <w:p w:rsidR="00DD4578" w:rsidRDefault="00DD4578">
      <w:pPr>
        <w:rPr>
          <w:bCs/>
          <w:sz w:val="40"/>
          <w:szCs w:val="40"/>
        </w:rPr>
      </w:pPr>
    </w:p>
    <w:p w:rsidR="00DD4578" w:rsidRDefault="00DD4578">
      <w:pPr>
        <w:rPr>
          <w:bCs/>
          <w:sz w:val="40"/>
          <w:szCs w:val="40"/>
        </w:rPr>
      </w:pPr>
    </w:p>
    <w:p w:rsidR="00DD4578" w:rsidRDefault="00DD4578">
      <w:pPr>
        <w:rPr>
          <w:bCs/>
          <w:sz w:val="40"/>
          <w:szCs w:val="40"/>
        </w:rPr>
      </w:pPr>
    </w:p>
    <w:p w:rsidR="00DD4578" w:rsidRDefault="00DD4578">
      <w:pPr>
        <w:rPr>
          <w:bCs/>
          <w:sz w:val="40"/>
          <w:szCs w:val="40"/>
        </w:rPr>
      </w:pPr>
    </w:p>
    <w:p w:rsidR="00DD4578" w:rsidRPr="00A63706" w:rsidRDefault="00DD4578">
      <w:pPr>
        <w:rPr>
          <w:b/>
          <w:bCs/>
          <w:sz w:val="40"/>
          <w:szCs w:val="40"/>
        </w:rPr>
      </w:pPr>
      <w:r w:rsidRPr="00A63706">
        <w:rPr>
          <w:b/>
          <w:bCs/>
          <w:sz w:val="40"/>
          <w:szCs w:val="40"/>
        </w:rPr>
        <w:t>Buenos Aires, junio 2022</w:t>
      </w:r>
    </w:p>
    <w:p w:rsidR="00DD4578" w:rsidRPr="00A47032" w:rsidRDefault="00DD4578">
      <w:pPr>
        <w:rPr>
          <w:sz w:val="40"/>
          <w:szCs w:val="40"/>
          <w:u w:val="single"/>
        </w:rPr>
      </w:pPr>
    </w:p>
    <w:p w:rsidR="005C153E" w:rsidRDefault="005C153E">
      <w:pPr>
        <w:rPr>
          <w:b/>
          <w:bCs/>
          <w:sz w:val="40"/>
          <w:szCs w:val="40"/>
        </w:rPr>
      </w:pPr>
    </w:p>
    <w:p w:rsidR="003D32BC" w:rsidRDefault="003D32BC">
      <w:pPr>
        <w:rPr>
          <w:bCs/>
          <w:sz w:val="40"/>
          <w:szCs w:val="40"/>
        </w:rPr>
      </w:pPr>
    </w:p>
    <w:p w:rsidR="003D32BC" w:rsidRDefault="003D32BC">
      <w:pPr>
        <w:rPr>
          <w:bCs/>
          <w:sz w:val="40"/>
          <w:szCs w:val="40"/>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153E" w:rsidRDefault="005C153E">
      <w:pPr>
        <w:rPr>
          <w:sz w:val="40"/>
          <w:szCs w:val="40"/>
          <w:lang w:val="es-AR"/>
        </w:rPr>
      </w:pPr>
    </w:p>
    <w:p w:rsidR="005C153E" w:rsidRDefault="005C153E">
      <w:pPr>
        <w:rPr>
          <w:sz w:val="40"/>
          <w:szCs w:val="40"/>
          <w:lang w:val="es-AR"/>
        </w:rPr>
      </w:pPr>
    </w:p>
    <w:p w:rsidR="005C153E" w:rsidRDefault="005C153E">
      <w:pPr>
        <w:rPr>
          <w:sz w:val="40"/>
          <w:szCs w:val="40"/>
          <w:lang w:val="es-AR"/>
        </w:rPr>
      </w:pPr>
    </w:p>
    <w:sectPr w:rsidR="005C153E">
      <w:headerReference w:type="default" r:id="rId8"/>
      <w:footerReference w:type="default" r:id="rId9"/>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C8" w:rsidRDefault="00FB3FC8">
      <w:r>
        <w:separator/>
      </w:r>
    </w:p>
  </w:endnote>
  <w:endnote w:type="continuationSeparator" w:id="0">
    <w:p w:rsidR="00FB3FC8" w:rsidRDefault="00F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3E" w:rsidRDefault="00B40D80">
    <w:pPr>
      <w:spacing w:before="120"/>
      <w:jc w:val="center"/>
      <w:rPr>
        <w:sz w:val="20"/>
      </w:rPr>
    </w:pPr>
    <w:r>
      <w:rPr>
        <w:sz w:val="20"/>
      </w:rPr>
      <w:t>SOLER 3909 - (1425)  BUENOS AIRES   TEL. 4824-7272/9505/9498/9489   FAX. 4822-7453  4823-1837</w:t>
    </w:r>
  </w:p>
  <w:p w:rsidR="005C153E" w:rsidRDefault="00B40D80">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C8" w:rsidRDefault="00FB3FC8">
      <w:r>
        <w:separator/>
      </w:r>
    </w:p>
  </w:footnote>
  <w:footnote w:type="continuationSeparator" w:id="0">
    <w:p w:rsidR="00FB3FC8" w:rsidRDefault="00FB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3E" w:rsidRDefault="00B40D80">
    <w:pPr>
      <w:pStyle w:val="Epgrafe"/>
      <w:rPr>
        <w:lang w:val="es-AR" w:eastAsia="es-AR"/>
      </w:rPr>
    </w:pPr>
    <w:r>
      <w:rPr>
        <w:noProof/>
        <w:lang w:val="es-AR" w:eastAsia="es-AR"/>
      </w:rPr>
      <w:drawing>
        <wp:anchor distT="0" distB="0" distL="114935" distR="114935" simplePos="0" relativeHeight="6"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B40D80">
    <w:pPr>
      <w:pStyle w:val="Epgrafe"/>
    </w:pPr>
    <w:r>
      <w:t>CAMARA DEL COMERCIO AUTOMOTOR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429"/>
    <w:multiLevelType w:val="multilevel"/>
    <w:tmpl w:val="2DE03E5C"/>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pStyle w:val="Ttulo71"/>
      <w:suff w:val="nothing"/>
      <w:lvlText w:val=""/>
      <w:lvlJc w:val="left"/>
      <w:pPr>
        <w:tabs>
          <w:tab w:val="num" w:pos="0"/>
        </w:tabs>
        <w:ind w:left="0" w:firstLine="0"/>
      </w:pPr>
    </w:lvl>
    <w:lvl w:ilvl="7">
      <w:start w:val="1"/>
      <w:numFmt w:val="none"/>
      <w:pStyle w:val="Ttulo81"/>
      <w:suff w:val="nothing"/>
      <w:lvlText w:val=""/>
      <w:lvlJc w:val="left"/>
      <w:pPr>
        <w:tabs>
          <w:tab w:val="num" w:pos="0"/>
        </w:tabs>
        <w:ind w:left="0" w:firstLine="0"/>
      </w:pPr>
    </w:lvl>
    <w:lvl w:ilvl="8">
      <w:start w:val="1"/>
      <w:numFmt w:val="none"/>
      <w:pStyle w:val="Ttulo91"/>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3E"/>
    <w:rsid w:val="0007209D"/>
    <w:rsid w:val="00074E19"/>
    <w:rsid w:val="0009305A"/>
    <w:rsid w:val="00110D1D"/>
    <w:rsid w:val="001760B7"/>
    <w:rsid w:val="001B68A5"/>
    <w:rsid w:val="0024013C"/>
    <w:rsid w:val="0028066A"/>
    <w:rsid w:val="003547E1"/>
    <w:rsid w:val="003646E7"/>
    <w:rsid w:val="003D32BC"/>
    <w:rsid w:val="005356C8"/>
    <w:rsid w:val="00576F1A"/>
    <w:rsid w:val="005C153E"/>
    <w:rsid w:val="005C5DB5"/>
    <w:rsid w:val="005D4B17"/>
    <w:rsid w:val="005D7C5D"/>
    <w:rsid w:val="006550DC"/>
    <w:rsid w:val="0067262E"/>
    <w:rsid w:val="006E5A7B"/>
    <w:rsid w:val="007B7101"/>
    <w:rsid w:val="0082668C"/>
    <w:rsid w:val="008337B5"/>
    <w:rsid w:val="00991930"/>
    <w:rsid w:val="009E0FE6"/>
    <w:rsid w:val="00A308B8"/>
    <w:rsid w:val="00A47032"/>
    <w:rsid w:val="00A63706"/>
    <w:rsid w:val="00A91032"/>
    <w:rsid w:val="00B40D80"/>
    <w:rsid w:val="00C13F47"/>
    <w:rsid w:val="00CB1B50"/>
    <w:rsid w:val="00D57027"/>
    <w:rsid w:val="00D5736D"/>
    <w:rsid w:val="00DD4578"/>
    <w:rsid w:val="00E1296C"/>
    <w:rsid w:val="00E2461D"/>
    <w:rsid w:val="00F55533"/>
    <w:rsid w:val="00FB3FC8"/>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4</cp:revision>
  <dcterms:created xsi:type="dcterms:W3CDTF">2022-06-09T14:15:00Z</dcterms:created>
  <dcterms:modified xsi:type="dcterms:W3CDTF">2022-06-09T14:44:00Z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