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3E" w:rsidRDefault="005C153E">
      <w:pPr>
        <w:rPr>
          <w:lang w:val="es-MX"/>
        </w:rPr>
      </w:pPr>
    </w:p>
    <w:p w:rsidR="007B7101" w:rsidRDefault="007B7101">
      <w:pPr>
        <w:rPr>
          <w:b/>
          <w:bCs/>
          <w:sz w:val="52"/>
          <w:szCs w:val="52"/>
        </w:rPr>
      </w:pPr>
    </w:p>
    <w:p w:rsidR="005C153E" w:rsidRDefault="00B40D80">
      <w:pPr>
        <w:rPr>
          <w:b/>
          <w:bCs/>
          <w:sz w:val="52"/>
          <w:szCs w:val="52"/>
        </w:rPr>
      </w:pPr>
      <w:r>
        <w:rPr>
          <w:b/>
          <w:bCs/>
          <w:sz w:val="52"/>
          <w:szCs w:val="52"/>
        </w:rPr>
        <w:t>INFORMACION DE PRENSA</w:t>
      </w:r>
    </w:p>
    <w:p w:rsidR="005C153E" w:rsidRDefault="005C153E">
      <w:pPr>
        <w:rPr>
          <w:b/>
          <w:sz w:val="36"/>
          <w:szCs w:val="36"/>
        </w:rPr>
      </w:pPr>
    </w:p>
    <w:p w:rsidR="005C153E" w:rsidRDefault="007B7101">
      <w:r>
        <w:rPr>
          <w:b/>
          <w:sz w:val="36"/>
          <w:szCs w:val="36"/>
          <w:u w:val="single"/>
        </w:rPr>
        <w:t>EN MARZO SE VENDIERON 140.248</w:t>
      </w:r>
      <w:r w:rsidR="00B40D80">
        <w:rPr>
          <w:b/>
          <w:sz w:val="36"/>
          <w:szCs w:val="36"/>
          <w:u w:val="single"/>
        </w:rPr>
        <w:t xml:space="preserve"> VEHÍCULOS USADOS  </w:t>
      </w:r>
    </w:p>
    <w:p w:rsidR="005C153E" w:rsidRDefault="005C153E">
      <w:pPr>
        <w:rPr>
          <w:b/>
          <w:sz w:val="36"/>
          <w:szCs w:val="36"/>
          <w:u w:val="single"/>
        </w:rPr>
      </w:pPr>
    </w:p>
    <w:p w:rsidR="005C153E" w:rsidRDefault="00110D1D">
      <w:pPr>
        <w:rPr>
          <w:b/>
          <w:sz w:val="36"/>
          <w:szCs w:val="36"/>
          <w:u w:val="single"/>
        </w:rPr>
      </w:pPr>
      <w:r>
        <w:rPr>
          <w:b/>
          <w:sz w:val="36"/>
          <w:szCs w:val="36"/>
          <w:u w:val="single"/>
        </w:rPr>
        <w:t xml:space="preserve">EN LOS 3 </w:t>
      </w:r>
      <w:r w:rsidR="009E0FE6">
        <w:rPr>
          <w:b/>
          <w:sz w:val="36"/>
          <w:szCs w:val="36"/>
          <w:u w:val="single"/>
        </w:rPr>
        <w:t xml:space="preserve">PRIMEROS </w:t>
      </w:r>
      <w:bookmarkStart w:id="0" w:name="_GoBack"/>
      <w:bookmarkEnd w:id="0"/>
      <w:r w:rsidR="009E0FE6">
        <w:rPr>
          <w:b/>
          <w:sz w:val="36"/>
          <w:szCs w:val="36"/>
          <w:u w:val="single"/>
        </w:rPr>
        <w:t>MESES DE</w:t>
      </w:r>
      <w:r w:rsidR="007B7101">
        <w:rPr>
          <w:b/>
          <w:sz w:val="36"/>
          <w:szCs w:val="36"/>
          <w:u w:val="single"/>
        </w:rPr>
        <w:t>L AÑO SE COMERCIALIZARON 379.659</w:t>
      </w:r>
      <w:r w:rsidR="009E0FE6">
        <w:rPr>
          <w:b/>
          <w:sz w:val="36"/>
          <w:szCs w:val="36"/>
          <w:u w:val="single"/>
        </w:rPr>
        <w:t xml:space="preserve"> UNIDADES</w:t>
      </w:r>
    </w:p>
    <w:p w:rsidR="005D4B17" w:rsidRDefault="005D4B17">
      <w:pPr>
        <w:rPr>
          <w:sz w:val="40"/>
          <w:szCs w:val="40"/>
        </w:rPr>
      </w:pPr>
    </w:p>
    <w:p w:rsidR="007B7101" w:rsidRDefault="00B40D80">
      <w:pPr>
        <w:rPr>
          <w:sz w:val="40"/>
          <w:szCs w:val="40"/>
        </w:rPr>
      </w:pPr>
      <w:r>
        <w:rPr>
          <w:sz w:val="40"/>
          <w:szCs w:val="40"/>
        </w:rPr>
        <w:t>La Cámara del Comercio Automotor (CCA</w:t>
      </w:r>
      <w:r w:rsidR="009E0FE6">
        <w:rPr>
          <w:sz w:val="40"/>
          <w:szCs w:val="40"/>
        </w:rPr>
        <w:t xml:space="preserve">) </w:t>
      </w:r>
      <w:r w:rsidR="007B7101">
        <w:rPr>
          <w:sz w:val="40"/>
          <w:szCs w:val="40"/>
        </w:rPr>
        <w:t>informó que en el mes de marzo</w:t>
      </w:r>
      <w:r>
        <w:rPr>
          <w:sz w:val="40"/>
          <w:szCs w:val="40"/>
        </w:rPr>
        <w:t xml:space="preserve"> se c</w:t>
      </w:r>
      <w:r w:rsidR="009E0FE6">
        <w:rPr>
          <w:sz w:val="40"/>
          <w:szCs w:val="40"/>
        </w:rPr>
        <w:t xml:space="preserve">omercializó en Argentina </w:t>
      </w:r>
      <w:r w:rsidR="007B7101">
        <w:rPr>
          <w:sz w:val="40"/>
          <w:szCs w:val="40"/>
        </w:rPr>
        <w:t xml:space="preserve">140.248 </w:t>
      </w:r>
      <w:r>
        <w:rPr>
          <w:sz w:val="40"/>
          <w:szCs w:val="40"/>
        </w:rPr>
        <w:t>veh</w:t>
      </w:r>
      <w:r w:rsidR="007B7101">
        <w:rPr>
          <w:sz w:val="40"/>
          <w:szCs w:val="40"/>
        </w:rPr>
        <w:t>ículos usados, una suba del 15,38% comparado con el mes de febrero (121.553 unidades).</w:t>
      </w:r>
    </w:p>
    <w:p w:rsidR="007B7101" w:rsidRDefault="007B7101">
      <w:pPr>
        <w:rPr>
          <w:sz w:val="40"/>
          <w:szCs w:val="40"/>
        </w:rPr>
      </w:pPr>
    </w:p>
    <w:p w:rsidR="007B7101" w:rsidRDefault="007B7101">
      <w:pPr>
        <w:rPr>
          <w:sz w:val="40"/>
          <w:szCs w:val="40"/>
        </w:rPr>
      </w:pPr>
      <w:r>
        <w:rPr>
          <w:sz w:val="40"/>
          <w:szCs w:val="40"/>
        </w:rPr>
        <w:t xml:space="preserve">Si marzo lo comparamos con igual mes del 2021 (156.793 vehículos), la baja llega al 10,55%. </w:t>
      </w:r>
    </w:p>
    <w:p w:rsidR="007B7101" w:rsidRDefault="007B7101">
      <w:pPr>
        <w:rPr>
          <w:sz w:val="40"/>
          <w:szCs w:val="40"/>
        </w:rPr>
      </w:pPr>
    </w:p>
    <w:p w:rsidR="00991930" w:rsidRDefault="007B7101">
      <w:pPr>
        <w:rPr>
          <w:sz w:val="40"/>
          <w:szCs w:val="40"/>
        </w:rPr>
      </w:pPr>
      <w:r>
        <w:rPr>
          <w:sz w:val="40"/>
          <w:szCs w:val="40"/>
        </w:rPr>
        <w:t>En los primeros tres</w:t>
      </w:r>
      <w:r w:rsidR="00991930">
        <w:rPr>
          <w:sz w:val="40"/>
          <w:szCs w:val="40"/>
        </w:rPr>
        <w:t xml:space="preserve"> mes</w:t>
      </w:r>
      <w:r>
        <w:rPr>
          <w:sz w:val="40"/>
          <w:szCs w:val="40"/>
        </w:rPr>
        <w:t xml:space="preserve">es del año se vendieron 379.659 </w:t>
      </w:r>
      <w:r w:rsidR="00991930">
        <w:rPr>
          <w:sz w:val="40"/>
          <w:szCs w:val="40"/>
        </w:rPr>
        <w:t>unidades</w:t>
      </w:r>
      <w:r>
        <w:rPr>
          <w:sz w:val="40"/>
          <w:szCs w:val="40"/>
        </w:rPr>
        <w:t>, una baja del 8,41</w:t>
      </w:r>
      <w:r w:rsidR="00991930">
        <w:rPr>
          <w:sz w:val="40"/>
          <w:szCs w:val="40"/>
        </w:rPr>
        <w:t>% comparado</w:t>
      </w:r>
      <w:r>
        <w:rPr>
          <w:sz w:val="40"/>
          <w:szCs w:val="40"/>
        </w:rPr>
        <w:t xml:space="preserve"> igual período de 2021 (414.501</w:t>
      </w:r>
      <w:r w:rsidR="00991930">
        <w:rPr>
          <w:sz w:val="40"/>
          <w:szCs w:val="40"/>
        </w:rPr>
        <w:t xml:space="preserve">vehículos). </w:t>
      </w:r>
    </w:p>
    <w:p w:rsidR="005C153E" w:rsidRDefault="00B40D80">
      <w:pPr>
        <w:rPr>
          <w:sz w:val="40"/>
          <w:szCs w:val="40"/>
        </w:rPr>
      </w:pPr>
      <w:r>
        <w:rPr>
          <w:sz w:val="40"/>
          <w:szCs w:val="40"/>
        </w:rPr>
        <w:t xml:space="preserve"> </w:t>
      </w:r>
    </w:p>
    <w:p w:rsidR="007B7101" w:rsidRDefault="007B7101">
      <w:pPr>
        <w:rPr>
          <w:b/>
          <w:sz w:val="36"/>
          <w:szCs w:val="36"/>
          <w:u w:val="single"/>
        </w:rPr>
      </w:pPr>
    </w:p>
    <w:p w:rsidR="007B7101" w:rsidRDefault="007B7101">
      <w:pPr>
        <w:rPr>
          <w:b/>
          <w:sz w:val="36"/>
          <w:szCs w:val="36"/>
          <w:u w:val="single"/>
        </w:rPr>
      </w:pPr>
    </w:p>
    <w:p w:rsidR="007B7101" w:rsidRDefault="007B7101">
      <w:pPr>
        <w:rPr>
          <w:b/>
          <w:sz w:val="36"/>
          <w:szCs w:val="36"/>
          <w:u w:val="single"/>
        </w:rPr>
      </w:pPr>
    </w:p>
    <w:p w:rsidR="007B7101" w:rsidRPr="005C5DB5" w:rsidRDefault="007B7101" w:rsidP="007B7101">
      <w:pPr>
        <w:rPr>
          <w:b/>
          <w:sz w:val="44"/>
          <w:szCs w:val="44"/>
          <w:u w:val="single"/>
        </w:rPr>
      </w:pPr>
      <w:r w:rsidRPr="005C5DB5">
        <w:rPr>
          <w:b/>
          <w:sz w:val="44"/>
          <w:szCs w:val="44"/>
          <w:u w:val="single"/>
        </w:rPr>
        <w:t>Declaraciones Alberto Príncipe, presidente de la Cáma</w:t>
      </w:r>
      <w:r w:rsidR="005C5DB5">
        <w:rPr>
          <w:b/>
          <w:sz w:val="44"/>
          <w:szCs w:val="44"/>
          <w:u w:val="single"/>
        </w:rPr>
        <w:t>ra del Comercio Automotor (CCA)</w:t>
      </w:r>
    </w:p>
    <w:p w:rsidR="007B7101" w:rsidRPr="007B7101" w:rsidRDefault="007B7101" w:rsidP="007B7101">
      <w:pPr>
        <w:rPr>
          <w:b/>
          <w:sz w:val="40"/>
          <w:szCs w:val="40"/>
          <w:u w:val="single"/>
        </w:rPr>
      </w:pPr>
    </w:p>
    <w:p w:rsidR="007B7101" w:rsidRPr="007B7101" w:rsidRDefault="007B7101" w:rsidP="007B7101">
      <w:pPr>
        <w:rPr>
          <w:sz w:val="40"/>
          <w:szCs w:val="40"/>
        </w:rPr>
      </w:pPr>
      <w:r w:rsidRPr="007B7101">
        <w:rPr>
          <w:sz w:val="40"/>
          <w:szCs w:val="40"/>
        </w:rPr>
        <w:t xml:space="preserve">“La actualidad del sector ya lo hemos pasado en la década del 70 en algún momento en que hubo falta de insumos. Lo que estamos viviendo hoy es un problema </w:t>
      </w:r>
      <w:proofErr w:type="spellStart"/>
      <w:r w:rsidRPr="007B7101">
        <w:rPr>
          <w:sz w:val="40"/>
          <w:szCs w:val="40"/>
        </w:rPr>
        <w:t>multicausal</w:t>
      </w:r>
      <w:proofErr w:type="spellEnd"/>
      <w:r w:rsidRPr="007B7101">
        <w:rPr>
          <w:sz w:val="40"/>
          <w:szCs w:val="40"/>
        </w:rPr>
        <w:t>, pero lo más importante es la falta de oferta. Si la gente no puede acceder a un 0km, recurre al usado más nuevo que pueda. Este va subiendo su precio hasta donde la gente esté dispuesta a pagarlo", dijo Alberto Príncipe, presidente de la Cámara del Comercio Automotor.</w:t>
      </w:r>
    </w:p>
    <w:p w:rsidR="0028066A" w:rsidRDefault="0028066A" w:rsidP="007B7101">
      <w:pPr>
        <w:rPr>
          <w:sz w:val="40"/>
          <w:szCs w:val="40"/>
        </w:rPr>
      </w:pPr>
    </w:p>
    <w:p w:rsidR="007B7101" w:rsidRPr="007B7101" w:rsidRDefault="007B7101" w:rsidP="007B7101">
      <w:pPr>
        <w:rPr>
          <w:sz w:val="40"/>
          <w:szCs w:val="40"/>
        </w:rPr>
      </w:pPr>
      <w:r w:rsidRPr="007B7101">
        <w:rPr>
          <w:sz w:val="40"/>
          <w:szCs w:val="40"/>
        </w:rPr>
        <w:t>"Lo que le pone el techo al u</w:t>
      </w:r>
      <w:r w:rsidR="005C5DB5">
        <w:rPr>
          <w:sz w:val="40"/>
          <w:szCs w:val="40"/>
        </w:rPr>
        <w:t xml:space="preserve">sado es el mismo producto nuevo. </w:t>
      </w:r>
      <w:r w:rsidRPr="007B7101">
        <w:rPr>
          <w:sz w:val="40"/>
          <w:szCs w:val="40"/>
        </w:rPr>
        <w:t>En un mercado distorsionado pasan cosas como estas", expresó el directivo.</w:t>
      </w:r>
    </w:p>
    <w:p w:rsidR="0028066A" w:rsidRDefault="0028066A" w:rsidP="007B7101">
      <w:pPr>
        <w:rPr>
          <w:sz w:val="40"/>
          <w:szCs w:val="40"/>
        </w:rPr>
      </w:pPr>
    </w:p>
    <w:p w:rsidR="007B7101" w:rsidRPr="007B7101" w:rsidRDefault="007B7101" w:rsidP="007B7101">
      <w:pPr>
        <w:rPr>
          <w:sz w:val="40"/>
          <w:szCs w:val="40"/>
        </w:rPr>
      </w:pPr>
      <w:r w:rsidRPr="007B7101">
        <w:rPr>
          <w:sz w:val="40"/>
          <w:szCs w:val="40"/>
        </w:rPr>
        <w:t>"En general el público que va a comprar su 0km va con un usado como mucho de cinco años de antigüedad. Hoy ese segmento está falt</w:t>
      </w:r>
      <w:r w:rsidR="0028066A">
        <w:rPr>
          <w:sz w:val="40"/>
          <w:szCs w:val="40"/>
        </w:rPr>
        <w:t>ando porque no hay autos nuevos</w:t>
      </w:r>
      <w:r w:rsidRPr="007B7101">
        <w:rPr>
          <w:sz w:val="40"/>
          <w:szCs w:val="40"/>
        </w:rPr>
        <w:t>. Como falta, cuando entra algo en el mercado hay diez personas que lo quieren comprar", mencionó Príncipe.</w:t>
      </w:r>
    </w:p>
    <w:p w:rsidR="0028066A" w:rsidRDefault="0028066A" w:rsidP="007B7101">
      <w:pPr>
        <w:rPr>
          <w:sz w:val="40"/>
          <w:szCs w:val="40"/>
        </w:rPr>
      </w:pPr>
    </w:p>
    <w:p w:rsidR="0028066A" w:rsidRDefault="0028066A" w:rsidP="007B7101">
      <w:pPr>
        <w:rPr>
          <w:sz w:val="40"/>
          <w:szCs w:val="40"/>
        </w:rPr>
      </w:pPr>
    </w:p>
    <w:p w:rsidR="0028066A" w:rsidRDefault="0028066A" w:rsidP="007B7101">
      <w:pPr>
        <w:rPr>
          <w:sz w:val="40"/>
          <w:szCs w:val="40"/>
        </w:rPr>
      </w:pPr>
    </w:p>
    <w:p w:rsidR="007B7101" w:rsidRPr="007B7101" w:rsidRDefault="007B7101" w:rsidP="007B7101">
      <w:pPr>
        <w:rPr>
          <w:sz w:val="40"/>
          <w:szCs w:val="40"/>
        </w:rPr>
      </w:pPr>
      <w:r w:rsidRPr="007B7101">
        <w:rPr>
          <w:sz w:val="40"/>
          <w:szCs w:val="40"/>
        </w:rPr>
        <w:t xml:space="preserve"> "En el tema autos, el mundo nunca ha estado más complejo como en este momento. En el año 2021 en el globo se vendieron 66.700.000 autos 0km, mientras que en 2018 se vendieron casi 100 millones. En el medio hubo una pandemia que cambió los planes para todos", aclaró Príncipe. </w:t>
      </w:r>
    </w:p>
    <w:p w:rsidR="0028066A" w:rsidRDefault="0028066A" w:rsidP="007B7101">
      <w:pPr>
        <w:rPr>
          <w:sz w:val="40"/>
          <w:szCs w:val="40"/>
        </w:rPr>
      </w:pPr>
    </w:p>
    <w:p w:rsidR="007B7101" w:rsidRPr="00A308B8" w:rsidRDefault="007B7101" w:rsidP="007B7101">
      <w:pPr>
        <w:rPr>
          <w:sz w:val="40"/>
          <w:szCs w:val="40"/>
        </w:rPr>
      </w:pPr>
      <w:r w:rsidRPr="00A308B8">
        <w:rPr>
          <w:sz w:val="40"/>
          <w:szCs w:val="40"/>
        </w:rPr>
        <w:t>"En todos los países del mundo los usados están teniendo un ciclo ascendente. Que nosotros como todos los problemas los amplifiquemos, es un tema interno nuestro”, finalizó el directivo.</w:t>
      </w:r>
    </w:p>
    <w:p w:rsidR="007B7101" w:rsidRPr="00A308B8" w:rsidRDefault="007B7101">
      <w:pPr>
        <w:rPr>
          <w:b/>
          <w:sz w:val="40"/>
          <w:szCs w:val="40"/>
          <w:u w:val="single"/>
        </w:rPr>
      </w:pPr>
    </w:p>
    <w:p w:rsidR="007B7101" w:rsidRPr="00A308B8" w:rsidRDefault="007B7101">
      <w:pPr>
        <w:rPr>
          <w:sz w:val="40"/>
          <w:szCs w:val="40"/>
        </w:rPr>
      </w:pPr>
    </w:p>
    <w:p w:rsidR="005C153E" w:rsidRPr="00A308B8" w:rsidRDefault="00B40D80">
      <w:pPr>
        <w:rPr>
          <w:b/>
          <w:bCs/>
          <w:sz w:val="40"/>
          <w:szCs w:val="40"/>
          <w:lang w:val="es-AR"/>
        </w:rPr>
      </w:pPr>
      <w:r w:rsidRPr="00A308B8">
        <w:rPr>
          <w:b/>
          <w:bCs/>
          <w:sz w:val="40"/>
          <w:szCs w:val="40"/>
          <w:u w:val="single"/>
        </w:rPr>
        <w:t>RANKING</w:t>
      </w:r>
      <w:r w:rsidR="00991930" w:rsidRPr="00A308B8">
        <w:rPr>
          <w:b/>
          <w:bCs/>
          <w:sz w:val="40"/>
          <w:szCs w:val="40"/>
          <w:u w:val="single"/>
        </w:rPr>
        <w:t xml:space="preserve"> 10 USADOS MÁS VENDIDOS EN </w:t>
      </w:r>
      <w:r w:rsidR="0028066A" w:rsidRPr="00A308B8">
        <w:rPr>
          <w:b/>
          <w:bCs/>
          <w:sz w:val="40"/>
          <w:szCs w:val="40"/>
          <w:u w:val="single"/>
        </w:rPr>
        <w:t xml:space="preserve">MARZO </w:t>
      </w:r>
      <w:r w:rsidRPr="00A308B8">
        <w:rPr>
          <w:b/>
          <w:bCs/>
          <w:sz w:val="40"/>
          <w:szCs w:val="40"/>
          <w:u w:val="single"/>
        </w:rPr>
        <w:t>2022</w:t>
      </w:r>
    </w:p>
    <w:p w:rsidR="005C153E" w:rsidRPr="00A308B8" w:rsidRDefault="005C153E">
      <w:pPr>
        <w:rPr>
          <w:sz w:val="40"/>
          <w:szCs w:val="40"/>
          <w:lang w:val="es-AR"/>
        </w:rPr>
      </w:pPr>
    </w:p>
    <w:p w:rsidR="005C153E" w:rsidRPr="00A308B8" w:rsidRDefault="00B40D80">
      <w:pPr>
        <w:rPr>
          <w:sz w:val="40"/>
          <w:szCs w:val="40"/>
          <w:lang w:val="en-US"/>
        </w:rPr>
      </w:pPr>
      <w:r w:rsidRPr="00A308B8">
        <w:rPr>
          <w:sz w:val="40"/>
          <w:szCs w:val="40"/>
          <w:lang w:val="en-US"/>
        </w:rPr>
        <w:t xml:space="preserve">1-VW </w:t>
      </w:r>
      <w:proofErr w:type="spellStart"/>
      <w:r w:rsidRPr="00A308B8">
        <w:rPr>
          <w:sz w:val="40"/>
          <w:szCs w:val="40"/>
          <w:lang w:val="en-US"/>
        </w:rPr>
        <w:t>Gol</w:t>
      </w:r>
      <w:proofErr w:type="spellEnd"/>
      <w:r w:rsidRPr="00A308B8">
        <w:rPr>
          <w:sz w:val="40"/>
          <w:szCs w:val="40"/>
          <w:lang w:val="en-US"/>
        </w:rPr>
        <w:t xml:space="preserve"> y Trend: </w:t>
      </w:r>
      <w:r w:rsidR="00A47032">
        <w:rPr>
          <w:sz w:val="40"/>
          <w:szCs w:val="40"/>
          <w:lang w:val="en-US"/>
        </w:rPr>
        <w:t>8.745</w:t>
      </w:r>
    </w:p>
    <w:p w:rsidR="005C153E" w:rsidRPr="00A308B8" w:rsidRDefault="00B40D80">
      <w:pPr>
        <w:rPr>
          <w:sz w:val="40"/>
          <w:szCs w:val="40"/>
          <w:lang w:val="es-AR"/>
        </w:rPr>
      </w:pPr>
      <w:r w:rsidRPr="00A308B8">
        <w:rPr>
          <w:sz w:val="40"/>
          <w:szCs w:val="40"/>
          <w:lang w:val="en-US"/>
        </w:rPr>
        <w:t xml:space="preserve">2- </w:t>
      </w:r>
      <w:proofErr w:type="spellStart"/>
      <w:r w:rsidRPr="00A308B8">
        <w:rPr>
          <w:sz w:val="40"/>
          <w:szCs w:val="40"/>
          <w:lang w:val="en-US"/>
        </w:rPr>
        <w:t>Chev</w:t>
      </w:r>
      <w:proofErr w:type="spellEnd"/>
      <w:r w:rsidRPr="00A308B8">
        <w:rPr>
          <w:sz w:val="40"/>
          <w:szCs w:val="40"/>
          <w:lang w:val="en-US"/>
        </w:rPr>
        <w:t xml:space="preserve">. </w:t>
      </w:r>
      <w:r w:rsidRPr="00A308B8">
        <w:rPr>
          <w:sz w:val="40"/>
          <w:szCs w:val="40"/>
          <w:lang w:val="es-AR"/>
        </w:rPr>
        <w:t xml:space="preserve">Corsa y </w:t>
      </w:r>
      <w:proofErr w:type="spellStart"/>
      <w:r w:rsidRPr="00A308B8">
        <w:rPr>
          <w:sz w:val="40"/>
          <w:szCs w:val="40"/>
          <w:lang w:val="es-AR"/>
        </w:rPr>
        <w:t>Classic</w:t>
      </w:r>
      <w:proofErr w:type="spellEnd"/>
      <w:r w:rsidRPr="00A308B8">
        <w:rPr>
          <w:sz w:val="40"/>
          <w:szCs w:val="40"/>
          <w:lang w:val="es-AR"/>
        </w:rPr>
        <w:t xml:space="preserve">: </w:t>
      </w:r>
      <w:r w:rsidR="00A47032">
        <w:rPr>
          <w:sz w:val="40"/>
          <w:szCs w:val="40"/>
          <w:lang w:val="es-AR"/>
        </w:rPr>
        <w:t>5.052</w:t>
      </w:r>
    </w:p>
    <w:p w:rsidR="005C153E" w:rsidRPr="00A308B8" w:rsidRDefault="00A47032">
      <w:pPr>
        <w:rPr>
          <w:sz w:val="40"/>
          <w:szCs w:val="40"/>
          <w:lang w:val="es-AR"/>
        </w:rPr>
      </w:pPr>
      <w:r>
        <w:rPr>
          <w:sz w:val="40"/>
          <w:szCs w:val="40"/>
          <w:lang w:val="es-AR"/>
        </w:rPr>
        <w:t xml:space="preserve">3- Toyota </w:t>
      </w:r>
      <w:proofErr w:type="spellStart"/>
      <w:r>
        <w:rPr>
          <w:sz w:val="40"/>
          <w:szCs w:val="40"/>
          <w:lang w:val="es-AR"/>
        </w:rPr>
        <w:t>Hilux</w:t>
      </w:r>
      <w:proofErr w:type="spellEnd"/>
      <w:r>
        <w:rPr>
          <w:sz w:val="40"/>
          <w:szCs w:val="40"/>
          <w:lang w:val="es-AR"/>
        </w:rPr>
        <w:t>: 4.282</w:t>
      </w:r>
    </w:p>
    <w:p w:rsidR="005C153E" w:rsidRPr="00A308B8" w:rsidRDefault="00E1296C">
      <w:pPr>
        <w:rPr>
          <w:sz w:val="40"/>
          <w:szCs w:val="40"/>
          <w:lang w:val="en-US"/>
        </w:rPr>
      </w:pPr>
      <w:r w:rsidRPr="00A308B8">
        <w:rPr>
          <w:sz w:val="40"/>
          <w:szCs w:val="40"/>
          <w:lang w:val="en-US"/>
        </w:rPr>
        <w:t xml:space="preserve">4- Renault Clio: </w:t>
      </w:r>
      <w:r w:rsidR="00A47032">
        <w:rPr>
          <w:sz w:val="40"/>
          <w:szCs w:val="40"/>
          <w:lang w:val="en-US"/>
        </w:rPr>
        <w:t>3.746</w:t>
      </w:r>
    </w:p>
    <w:p w:rsidR="0024013C" w:rsidRPr="00A308B8" w:rsidRDefault="00E1296C">
      <w:pPr>
        <w:rPr>
          <w:sz w:val="40"/>
          <w:szCs w:val="40"/>
          <w:lang w:val="en-US"/>
        </w:rPr>
      </w:pPr>
      <w:r w:rsidRPr="00A308B8">
        <w:rPr>
          <w:sz w:val="40"/>
          <w:szCs w:val="40"/>
          <w:lang w:val="en-US"/>
        </w:rPr>
        <w:t xml:space="preserve">5-Ford Fiesta: </w:t>
      </w:r>
      <w:r w:rsidR="00A47032">
        <w:rPr>
          <w:sz w:val="40"/>
          <w:szCs w:val="40"/>
          <w:lang w:val="en-US"/>
        </w:rPr>
        <w:t>3.367</w:t>
      </w:r>
    </w:p>
    <w:p w:rsidR="00A47032" w:rsidRDefault="00A47032">
      <w:pPr>
        <w:rPr>
          <w:sz w:val="40"/>
          <w:szCs w:val="40"/>
          <w:lang w:val="en-US"/>
        </w:rPr>
      </w:pPr>
    </w:p>
    <w:p w:rsidR="00E1296C" w:rsidRPr="00A47032" w:rsidRDefault="00E1296C">
      <w:pPr>
        <w:rPr>
          <w:sz w:val="40"/>
          <w:szCs w:val="40"/>
          <w:lang w:val="en-US"/>
        </w:rPr>
      </w:pPr>
      <w:r w:rsidRPr="00A47032">
        <w:rPr>
          <w:sz w:val="40"/>
          <w:szCs w:val="40"/>
          <w:lang w:val="en-US"/>
        </w:rPr>
        <w:t xml:space="preserve">6-Fiat </w:t>
      </w:r>
      <w:proofErr w:type="spellStart"/>
      <w:r w:rsidRPr="00A47032">
        <w:rPr>
          <w:sz w:val="40"/>
          <w:szCs w:val="40"/>
          <w:lang w:val="en-US"/>
        </w:rPr>
        <w:t>Palio</w:t>
      </w:r>
      <w:proofErr w:type="spellEnd"/>
      <w:r w:rsidRPr="00A47032">
        <w:rPr>
          <w:sz w:val="40"/>
          <w:szCs w:val="40"/>
          <w:lang w:val="en-US"/>
        </w:rPr>
        <w:t xml:space="preserve">: </w:t>
      </w:r>
      <w:r w:rsidR="00A47032" w:rsidRPr="00A47032">
        <w:rPr>
          <w:sz w:val="40"/>
          <w:szCs w:val="40"/>
          <w:lang w:val="en-US"/>
        </w:rPr>
        <w:t>3.120</w:t>
      </w:r>
    </w:p>
    <w:p w:rsidR="00E1296C" w:rsidRPr="00A47032" w:rsidRDefault="00E1296C">
      <w:pPr>
        <w:rPr>
          <w:sz w:val="40"/>
          <w:szCs w:val="40"/>
          <w:lang w:val="en-US"/>
        </w:rPr>
      </w:pPr>
      <w:r w:rsidRPr="00A47032">
        <w:rPr>
          <w:sz w:val="40"/>
          <w:szCs w:val="40"/>
          <w:lang w:val="en-US"/>
        </w:rPr>
        <w:t xml:space="preserve">7-Ford Ranger: </w:t>
      </w:r>
      <w:r w:rsidR="00A47032" w:rsidRPr="00A47032">
        <w:rPr>
          <w:sz w:val="40"/>
          <w:szCs w:val="40"/>
          <w:lang w:val="en-US"/>
        </w:rPr>
        <w:t>2.818</w:t>
      </w:r>
    </w:p>
    <w:p w:rsidR="00A47032" w:rsidRPr="00A47032" w:rsidRDefault="00E1296C" w:rsidP="00A47032">
      <w:pPr>
        <w:rPr>
          <w:sz w:val="40"/>
          <w:szCs w:val="40"/>
          <w:lang w:val="en-US"/>
        </w:rPr>
      </w:pPr>
      <w:r w:rsidRPr="00A47032">
        <w:rPr>
          <w:sz w:val="40"/>
          <w:szCs w:val="40"/>
          <w:lang w:val="en-US"/>
        </w:rPr>
        <w:t>8-</w:t>
      </w:r>
      <w:r w:rsidR="00A47032" w:rsidRPr="00A47032">
        <w:rPr>
          <w:sz w:val="40"/>
          <w:szCs w:val="40"/>
          <w:lang w:val="en-US"/>
        </w:rPr>
        <w:t xml:space="preserve">Ford </w:t>
      </w:r>
      <w:proofErr w:type="spellStart"/>
      <w:r w:rsidR="00A47032" w:rsidRPr="00A47032">
        <w:rPr>
          <w:sz w:val="40"/>
          <w:szCs w:val="40"/>
          <w:lang w:val="en-US"/>
        </w:rPr>
        <w:t>Ka</w:t>
      </w:r>
      <w:proofErr w:type="spellEnd"/>
      <w:r w:rsidR="00A47032" w:rsidRPr="00A47032">
        <w:rPr>
          <w:sz w:val="40"/>
          <w:szCs w:val="40"/>
          <w:lang w:val="en-US"/>
        </w:rPr>
        <w:t>: 2.741</w:t>
      </w:r>
    </w:p>
    <w:p w:rsidR="00A47032" w:rsidRPr="00A47032" w:rsidRDefault="00A47032" w:rsidP="00A47032">
      <w:pPr>
        <w:rPr>
          <w:sz w:val="40"/>
          <w:szCs w:val="40"/>
          <w:lang w:val="en-US"/>
        </w:rPr>
      </w:pPr>
      <w:r w:rsidRPr="00A47032">
        <w:rPr>
          <w:sz w:val="40"/>
          <w:szCs w:val="40"/>
          <w:lang w:val="en-US"/>
        </w:rPr>
        <w:t xml:space="preserve">9-Ford </w:t>
      </w:r>
      <w:proofErr w:type="spellStart"/>
      <w:r w:rsidRPr="00A47032">
        <w:rPr>
          <w:sz w:val="40"/>
          <w:szCs w:val="40"/>
          <w:lang w:val="en-US"/>
        </w:rPr>
        <w:t>EcoSport</w:t>
      </w:r>
      <w:proofErr w:type="spellEnd"/>
      <w:r w:rsidRPr="00A47032">
        <w:rPr>
          <w:sz w:val="40"/>
          <w:szCs w:val="40"/>
          <w:lang w:val="en-US"/>
        </w:rPr>
        <w:t>: 2.684</w:t>
      </w:r>
    </w:p>
    <w:p w:rsidR="0024013C" w:rsidRPr="00A47032" w:rsidRDefault="00A47032" w:rsidP="00A47032">
      <w:pPr>
        <w:rPr>
          <w:sz w:val="40"/>
          <w:szCs w:val="40"/>
          <w:lang w:val="en-US"/>
        </w:rPr>
      </w:pPr>
      <w:r w:rsidRPr="00A47032">
        <w:rPr>
          <w:sz w:val="40"/>
          <w:szCs w:val="40"/>
          <w:lang w:val="en-US"/>
        </w:rPr>
        <w:t xml:space="preserve">10-Ford Focus: 2.618 </w:t>
      </w:r>
    </w:p>
    <w:p w:rsidR="005C153E" w:rsidRPr="00A47032" w:rsidRDefault="005C153E">
      <w:pPr>
        <w:rPr>
          <w:sz w:val="40"/>
          <w:szCs w:val="40"/>
          <w:lang w:val="en-US"/>
        </w:rPr>
      </w:pPr>
    </w:p>
    <w:p w:rsidR="005C153E" w:rsidRPr="00A47032" w:rsidRDefault="00E1296C">
      <w:pPr>
        <w:rPr>
          <w:sz w:val="40"/>
          <w:szCs w:val="40"/>
          <w:u w:val="single"/>
        </w:rPr>
      </w:pPr>
      <w:r w:rsidRPr="00A47032">
        <w:rPr>
          <w:b/>
          <w:bCs/>
          <w:sz w:val="40"/>
          <w:szCs w:val="40"/>
          <w:u w:val="single"/>
          <w:lang w:val="es-AR"/>
        </w:rPr>
        <w:t>PR</w:t>
      </w:r>
      <w:r w:rsidR="00A47032" w:rsidRPr="00A47032">
        <w:rPr>
          <w:b/>
          <w:bCs/>
          <w:sz w:val="40"/>
          <w:szCs w:val="40"/>
          <w:u w:val="single"/>
          <w:lang w:val="es-AR"/>
        </w:rPr>
        <w:t xml:space="preserve">OVINCIAS QUE SUBIERON EN </w:t>
      </w:r>
      <w:r w:rsidR="00D57027">
        <w:rPr>
          <w:b/>
          <w:bCs/>
          <w:sz w:val="40"/>
          <w:szCs w:val="40"/>
          <w:u w:val="single"/>
          <w:lang w:val="es-AR"/>
        </w:rPr>
        <w:t>ENERO-</w:t>
      </w:r>
      <w:r w:rsidR="00A47032" w:rsidRPr="00A47032">
        <w:rPr>
          <w:b/>
          <w:bCs/>
          <w:sz w:val="40"/>
          <w:szCs w:val="40"/>
          <w:u w:val="single"/>
          <w:lang w:val="es-AR"/>
        </w:rPr>
        <w:t>MARZO</w:t>
      </w:r>
      <w:r w:rsidR="0082668C" w:rsidRPr="00A47032">
        <w:rPr>
          <w:b/>
          <w:bCs/>
          <w:sz w:val="40"/>
          <w:szCs w:val="40"/>
          <w:u w:val="single"/>
          <w:lang w:val="es-AR"/>
        </w:rPr>
        <w:t xml:space="preserve"> 2022</w:t>
      </w:r>
    </w:p>
    <w:p w:rsidR="005C153E" w:rsidRPr="00A47032" w:rsidRDefault="005C153E">
      <w:pPr>
        <w:rPr>
          <w:b/>
          <w:bCs/>
          <w:sz w:val="40"/>
          <w:szCs w:val="40"/>
          <w:u w:val="single"/>
          <w:lang w:val="es-AR"/>
        </w:rPr>
      </w:pPr>
    </w:p>
    <w:p w:rsidR="005C153E" w:rsidRPr="00A47032" w:rsidRDefault="00B40D80">
      <w:pPr>
        <w:rPr>
          <w:sz w:val="40"/>
          <w:szCs w:val="40"/>
          <w:lang w:val="es-AR"/>
        </w:rPr>
      </w:pPr>
      <w:r w:rsidRPr="00A47032">
        <w:rPr>
          <w:sz w:val="40"/>
          <w:szCs w:val="40"/>
          <w:lang w:val="es-AR"/>
        </w:rPr>
        <w:t xml:space="preserve">Formosa: </w:t>
      </w:r>
      <w:r w:rsidR="00A47032" w:rsidRPr="00A47032">
        <w:rPr>
          <w:sz w:val="40"/>
          <w:szCs w:val="40"/>
          <w:lang w:val="es-AR"/>
        </w:rPr>
        <w:t>41,85</w:t>
      </w:r>
      <w:r w:rsidR="00E1296C" w:rsidRPr="00A47032">
        <w:rPr>
          <w:sz w:val="40"/>
          <w:szCs w:val="40"/>
          <w:lang w:val="es-AR"/>
        </w:rPr>
        <w:t>%</w:t>
      </w:r>
    </w:p>
    <w:p w:rsidR="005C153E" w:rsidRPr="00A47032" w:rsidRDefault="00A47032">
      <w:pPr>
        <w:rPr>
          <w:sz w:val="40"/>
          <w:szCs w:val="40"/>
          <w:lang w:val="es-AR"/>
        </w:rPr>
      </w:pPr>
      <w:r w:rsidRPr="00A47032">
        <w:rPr>
          <w:sz w:val="40"/>
          <w:szCs w:val="40"/>
          <w:lang w:val="es-AR"/>
        </w:rPr>
        <w:t>Santa Cruz: 7,69</w:t>
      </w:r>
      <w:r w:rsidR="00B40D80" w:rsidRPr="00A47032">
        <w:rPr>
          <w:sz w:val="40"/>
          <w:szCs w:val="40"/>
          <w:lang w:val="es-AR"/>
        </w:rPr>
        <w:t>%</w:t>
      </w:r>
    </w:p>
    <w:p w:rsidR="005C153E" w:rsidRPr="00A47032" w:rsidRDefault="00A47032">
      <w:pPr>
        <w:rPr>
          <w:sz w:val="40"/>
          <w:szCs w:val="40"/>
          <w:lang w:val="es-AR"/>
        </w:rPr>
      </w:pPr>
      <w:r w:rsidRPr="00A47032">
        <w:rPr>
          <w:sz w:val="40"/>
          <w:szCs w:val="40"/>
          <w:lang w:val="es-AR"/>
        </w:rPr>
        <w:t>Corrientes: 1,11</w:t>
      </w:r>
      <w:r w:rsidR="00B40D80" w:rsidRPr="00A47032">
        <w:rPr>
          <w:sz w:val="40"/>
          <w:szCs w:val="40"/>
          <w:lang w:val="es-AR"/>
        </w:rPr>
        <w:t>%</w:t>
      </w:r>
    </w:p>
    <w:p w:rsidR="00E1296C" w:rsidRPr="00A47032" w:rsidRDefault="00E1296C">
      <w:pPr>
        <w:rPr>
          <w:sz w:val="40"/>
          <w:szCs w:val="40"/>
          <w:lang w:val="es-AR"/>
        </w:rPr>
      </w:pPr>
    </w:p>
    <w:p w:rsidR="005C153E" w:rsidRPr="00A47032" w:rsidRDefault="00E1296C">
      <w:pPr>
        <w:rPr>
          <w:sz w:val="40"/>
          <w:szCs w:val="40"/>
          <w:u w:val="single"/>
        </w:rPr>
      </w:pPr>
      <w:r w:rsidRPr="00A47032">
        <w:rPr>
          <w:b/>
          <w:bCs/>
          <w:sz w:val="40"/>
          <w:szCs w:val="40"/>
          <w:u w:val="single"/>
        </w:rPr>
        <w:t>P</w:t>
      </w:r>
      <w:r w:rsidR="00A47032">
        <w:rPr>
          <w:b/>
          <w:bCs/>
          <w:sz w:val="40"/>
          <w:szCs w:val="40"/>
          <w:u w:val="single"/>
        </w:rPr>
        <w:t xml:space="preserve">ROVINCIAS QUE BAJARON EN </w:t>
      </w:r>
      <w:r w:rsidR="00D57027">
        <w:rPr>
          <w:b/>
          <w:bCs/>
          <w:sz w:val="40"/>
          <w:szCs w:val="40"/>
          <w:u w:val="single"/>
        </w:rPr>
        <w:t>ENERO-</w:t>
      </w:r>
      <w:r w:rsidR="00A47032">
        <w:rPr>
          <w:b/>
          <w:bCs/>
          <w:sz w:val="40"/>
          <w:szCs w:val="40"/>
          <w:u w:val="single"/>
        </w:rPr>
        <w:t>MARZO</w:t>
      </w:r>
      <w:r w:rsidR="0082668C" w:rsidRPr="00A47032">
        <w:rPr>
          <w:b/>
          <w:bCs/>
          <w:sz w:val="40"/>
          <w:szCs w:val="40"/>
          <w:u w:val="single"/>
        </w:rPr>
        <w:t xml:space="preserve"> 2022</w:t>
      </w:r>
    </w:p>
    <w:p w:rsidR="005C153E" w:rsidRPr="00A47032" w:rsidRDefault="005C153E">
      <w:pPr>
        <w:rPr>
          <w:b/>
          <w:bCs/>
          <w:sz w:val="40"/>
          <w:szCs w:val="40"/>
        </w:rPr>
      </w:pPr>
    </w:p>
    <w:p w:rsidR="005C153E" w:rsidRDefault="00A47032">
      <w:pPr>
        <w:rPr>
          <w:sz w:val="40"/>
          <w:szCs w:val="40"/>
          <w:lang w:val="es-AR"/>
        </w:rPr>
      </w:pPr>
      <w:r>
        <w:rPr>
          <w:sz w:val="40"/>
          <w:szCs w:val="40"/>
          <w:lang w:val="es-AR"/>
        </w:rPr>
        <w:t>Chubut: 15,13%</w:t>
      </w:r>
    </w:p>
    <w:p w:rsidR="00A47032" w:rsidRDefault="00A47032">
      <w:pPr>
        <w:rPr>
          <w:sz w:val="40"/>
          <w:szCs w:val="40"/>
          <w:lang w:val="es-AR"/>
        </w:rPr>
      </w:pPr>
      <w:r>
        <w:rPr>
          <w:sz w:val="40"/>
          <w:szCs w:val="40"/>
          <w:lang w:val="es-AR"/>
        </w:rPr>
        <w:t>Tierra del Fuego: 15,02%</w:t>
      </w:r>
    </w:p>
    <w:p w:rsidR="00A47032" w:rsidRDefault="00A47032">
      <w:pPr>
        <w:rPr>
          <w:sz w:val="40"/>
          <w:szCs w:val="40"/>
          <w:lang w:val="es-AR"/>
        </w:rPr>
      </w:pPr>
      <w:r>
        <w:rPr>
          <w:sz w:val="40"/>
          <w:szCs w:val="40"/>
          <w:lang w:val="es-AR"/>
        </w:rPr>
        <w:t>Mendoza: 14,76%</w:t>
      </w:r>
    </w:p>
    <w:p w:rsidR="00A47032" w:rsidRDefault="00A47032">
      <w:pPr>
        <w:rPr>
          <w:sz w:val="40"/>
          <w:szCs w:val="40"/>
          <w:lang w:val="es-AR"/>
        </w:rPr>
      </w:pPr>
      <w:r>
        <w:rPr>
          <w:sz w:val="40"/>
          <w:szCs w:val="40"/>
          <w:lang w:val="es-AR"/>
        </w:rPr>
        <w:t>Santiago del Estero: 14,43%</w:t>
      </w:r>
    </w:p>
    <w:p w:rsidR="00A47032" w:rsidRDefault="00A47032">
      <w:pPr>
        <w:rPr>
          <w:sz w:val="40"/>
          <w:szCs w:val="40"/>
          <w:lang w:val="es-AR"/>
        </w:rPr>
      </w:pPr>
      <w:r>
        <w:rPr>
          <w:sz w:val="40"/>
          <w:szCs w:val="40"/>
          <w:lang w:val="es-AR"/>
        </w:rPr>
        <w:t>La Rioja: 12,73%</w:t>
      </w:r>
    </w:p>
    <w:p w:rsidR="00A47032" w:rsidRDefault="00A47032">
      <w:pPr>
        <w:rPr>
          <w:sz w:val="40"/>
          <w:szCs w:val="40"/>
          <w:lang w:val="es-AR"/>
        </w:rPr>
      </w:pPr>
      <w:r>
        <w:rPr>
          <w:sz w:val="40"/>
          <w:szCs w:val="40"/>
          <w:lang w:val="es-AR"/>
        </w:rPr>
        <w:t>Salta: 12,57%</w:t>
      </w:r>
    </w:p>
    <w:p w:rsidR="00D57027" w:rsidRDefault="00D57027">
      <w:pPr>
        <w:rPr>
          <w:sz w:val="40"/>
          <w:szCs w:val="40"/>
          <w:lang w:val="es-AR"/>
        </w:rPr>
      </w:pPr>
    </w:p>
    <w:p w:rsidR="00D57027" w:rsidRDefault="00D57027">
      <w:pPr>
        <w:rPr>
          <w:sz w:val="40"/>
          <w:szCs w:val="40"/>
          <w:lang w:val="es-AR"/>
        </w:rPr>
      </w:pPr>
    </w:p>
    <w:p w:rsidR="00A47032" w:rsidRDefault="00A47032">
      <w:pPr>
        <w:rPr>
          <w:sz w:val="40"/>
          <w:szCs w:val="40"/>
          <w:lang w:val="es-AR"/>
        </w:rPr>
      </w:pPr>
      <w:r>
        <w:rPr>
          <w:sz w:val="40"/>
          <w:szCs w:val="40"/>
          <w:lang w:val="es-AR"/>
        </w:rPr>
        <w:t>San Juan: 12,17%</w:t>
      </w:r>
    </w:p>
    <w:p w:rsidR="00A47032" w:rsidRDefault="00A47032">
      <w:pPr>
        <w:rPr>
          <w:sz w:val="40"/>
          <w:szCs w:val="40"/>
          <w:lang w:val="es-AR"/>
        </w:rPr>
      </w:pPr>
      <w:r>
        <w:rPr>
          <w:sz w:val="40"/>
          <w:szCs w:val="40"/>
          <w:lang w:val="es-AR"/>
        </w:rPr>
        <w:t>La Pampa: 11,26%</w:t>
      </w:r>
    </w:p>
    <w:p w:rsidR="00A47032" w:rsidRDefault="00A47032">
      <w:pPr>
        <w:rPr>
          <w:sz w:val="40"/>
          <w:szCs w:val="40"/>
          <w:lang w:val="es-AR"/>
        </w:rPr>
      </w:pPr>
      <w:r>
        <w:rPr>
          <w:sz w:val="40"/>
          <w:szCs w:val="40"/>
          <w:lang w:val="es-AR"/>
        </w:rPr>
        <w:t>Jujuy: 10,85%</w:t>
      </w:r>
    </w:p>
    <w:p w:rsidR="00A47032" w:rsidRDefault="00A47032">
      <w:pPr>
        <w:rPr>
          <w:sz w:val="40"/>
          <w:szCs w:val="40"/>
          <w:lang w:val="es-AR"/>
        </w:rPr>
      </w:pPr>
      <w:r>
        <w:rPr>
          <w:sz w:val="40"/>
          <w:szCs w:val="40"/>
          <w:lang w:val="es-AR"/>
        </w:rPr>
        <w:t>Entre Ríos: 10,68%</w:t>
      </w:r>
    </w:p>
    <w:p w:rsidR="00A47032" w:rsidRDefault="00A47032">
      <w:pPr>
        <w:rPr>
          <w:sz w:val="40"/>
          <w:szCs w:val="40"/>
          <w:lang w:val="es-AR"/>
        </w:rPr>
      </w:pPr>
      <w:r>
        <w:rPr>
          <w:sz w:val="40"/>
          <w:szCs w:val="40"/>
          <w:lang w:val="es-AR"/>
        </w:rPr>
        <w:t>Río Negro: 10,25%</w:t>
      </w:r>
    </w:p>
    <w:p w:rsidR="00A47032" w:rsidRDefault="00A47032">
      <w:pPr>
        <w:rPr>
          <w:sz w:val="40"/>
          <w:szCs w:val="40"/>
          <w:lang w:val="es-AR"/>
        </w:rPr>
      </w:pPr>
      <w:r>
        <w:rPr>
          <w:sz w:val="40"/>
          <w:szCs w:val="40"/>
          <w:lang w:val="es-AR"/>
        </w:rPr>
        <w:t xml:space="preserve">Santa Fe: </w:t>
      </w:r>
      <w:r w:rsidR="005C5DB5">
        <w:rPr>
          <w:sz w:val="40"/>
          <w:szCs w:val="40"/>
          <w:lang w:val="es-AR"/>
        </w:rPr>
        <w:t>9,60%</w:t>
      </w:r>
    </w:p>
    <w:p w:rsidR="005C5DB5" w:rsidRDefault="005C5DB5">
      <w:pPr>
        <w:rPr>
          <w:sz w:val="40"/>
          <w:szCs w:val="40"/>
          <w:lang w:val="es-AR"/>
        </w:rPr>
      </w:pPr>
      <w:r>
        <w:rPr>
          <w:sz w:val="40"/>
          <w:szCs w:val="40"/>
          <w:lang w:val="es-AR"/>
        </w:rPr>
        <w:t>Córdoba: 8,81%</w:t>
      </w:r>
    </w:p>
    <w:p w:rsidR="005C5DB5" w:rsidRDefault="00D57027">
      <w:pPr>
        <w:rPr>
          <w:sz w:val="40"/>
          <w:szCs w:val="40"/>
          <w:lang w:val="es-AR"/>
        </w:rPr>
      </w:pPr>
      <w:proofErr w:type="spellStart"/>
      <w:r>
        <w:rPr>
          <w:sz w:val="40"/>
          <w:szCs w:val="40"/>
          <w:lang w:val="es-AR"/>
        </w:rPr>
        <w:t>Pcia</w:t>
      </w:r>
      <w:proofErr w:type="spellEnd"/>
      <w:r>
        <w:rPr>
          <w:sz w:val="40"/>
          <w:szCs w:val="40"/>
          <w:lang w:val="es-AR"/>
        </w:rPr>
        <w:t>. Bs.</w:t>
      </w:r>
      <w:r w:rsidR="005C5DB5">
        <w:rPr>
          <w:sz w:val="40"/>
          <w:szCs w:val="40"/>
          <w:lang w:val="es-AR"/>
        </w:rPr>
        <w:t>As.: 8,60%</w:t>
      </w:r>
    </w:p>
    <w:p w:rsidR="005C5DB5" w:rsidRDefault="005C5DB5">
      <w:pPr>
        <w:rPr>
          <w:sz w:val="40"/>
          <w:szCs w:val="40"/>
          <w:lang w:val="es-AR"/>
        </w:rPr>
      </w:pPr>
      <w:r>
        <w:rPr>
          <w:sz w:val="40"/>
          <w:szCs w:val="40"/>
          <w:lang w:val="es-AR"/>
        </w:rPr>
        <w:t>San Luis: 7,91%</w:t>
      </w:r>
    </w:p>
    <w:p w:rsidR="005C5DB5" w:rsidRDefault="005C5DB5">
      <w:pPr>
        <w:rPr>
          <w:sz w:val="40"/>
          <w:szCs w:val="40"/>
          <w:lang w:val="es-AR"/>
        </w:rPr>
      </w:pPr>
      <w:r>
        <w:rPr>
          <w:sz w:val="40"/>
          <w:szCs w:val="40"/>
          <w:lang w:val="es-AR"/>
        </w:rPr>
        <w:t>Neuquén: 5,67%</w:t>
      </w:r>
    </w:p>
    <w:p w:rsidR="005C5DB5" w:rsidRDefault="005C5DB5">
      <w:pPr>
        <w:rPr>
          <w:sz w:val="40"/>
          <w:szCs w:val="40"/>
          <w:lang w:val="es-AR"/>
        </w:rPr>
      </w:pPr>
      <w:r>
        <w:rPr>
          <w:sz w:val="40"/>
          <w:szCs w:val="40"/>
          <w:lang w:val="es-AR"/>
        </w:rPr>
        <w:t>Tucumán: 5,31%</w:t>
      </w:r>
    </w:p>
    <w:p w:rsidR="005C5DB5" w:rsidRDefault="005C5DB5">
      <w:pPr>
        <w:rPr>
          <w:sz w:val="40"/>
          <w:szCs w:val="40"/>
          <w:lang w:val="es-AR"/>
        </w:rPr>
      </w:pPr>
      <w:r>
        <w:rPr>
          <w:sz w:val="40"/>
          <w:szCs w:val="40"/>
          <w:lang w:val="es-AR"/>
        </w:rPr>
        <w:t>Chaco: 4,87%</w:t>
      </w:r>
    </w:p>
    <w:p w:rsidR="005C5DB5" w:rsidRDefault="005C5DB5">
      <w:pPr>
        <w:rPr>
          <w:sz w:val="40"/>
          <w:szCs w:val="40"/>
          <w:lang w:val="es-AR"/>
        </w:rPr>
      </w:pPr>
      <w:r>
        <w:rPr>
          <w:sz w:val="40"/>
          <w:szCs w:val="40"/>
          <w:lang w:val="es-AR"/>
        </w:rPr>
        <w:t>CABA: 4,39%</w:t>
      </w:r>
    </w:p>
    <w:p w:rsidR="005C5DB5" w:rsidRDefault="005C5DB5">
      <w:pPr>
        <w:rPr>
          <w:sz w:val="40"/>
          <w:szCs w:val="40"/>
          <w:lang w:val="es-AR"/>
        </w:rPr>
      </w:pPr>
      <w:r>
        <w:rPr>
          <w:sz w:val="40"/>
          <w:szCs w:val="40"/>
          <w:lang w:val="es-AR"/>
        </w:rPr>
        <w:t>Catamarca: 4,34%</w:t>
      </w:r>
    </w:p>
    <w:p w:rsidR="005C5DB5" w:rsidRDefault="005C5DB5">
      <w:pPr>
        <w:rPr>
          <w:sz w:val="40"/>
          <w:szCs w:val="40"/>
          <w:lang w:val="es-AR"/>
        </w:rPr>
      </w:pPr>
      <w:r>
        <w:rPr>
          <w:sz w:val="40"/>
          <w:szCs w:val="40"/>
          <w:lang w:val="es-AR"/>
        </w:rPr>
        <w:t>Misiones: 0,33%</w:t>
      </w: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r>
        <w:rPr>
          <w:sz w:val="40"/>
          <w:szCs w:val="40"/>
          <w:lang w:val="es-AR"/>
        </w:rPr>
        <w:t>Buenos Aires, abril 7 de 2022</w:t>
      </w: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5DB5" w:rsidRDefault="005C5DB5">
      <w:pPr>
        <w:rPr>
          <w:sz w:val="40"/>
          <w:szCs w:val="40"/>
          <w:lang w:val="es-AR"/>
        </w:rPr>
      </w:pPr>
    </w:p>
    <w:p w:rsidR="005C153E" w:rsidRDefault="005C153E">
      <w:pPr>
        <w:rPr>
          <w:sz w:val="40"/>
          <w:szCs w:val="40"/>
          <w:lang w:val="es-AR"/>
        </w:rPr>
      </w:pPr>
    </w:p>
    <w:p w:rsidR="005C153E" w:rsidRDefault="005C153E">
      <w:pPr>
        <w:rPr>
          <w:sz w:val="40"/>
          <w:szCs w:val="40"/>
          <w:lang w:val="es-AR"/>
        </w:rPr>
      </w:pPr>
    </w:p>
    <w:p w:rsidR="005C153E" w:rsidRDefault="005C153E">
      <w:pPr>
        <w:rPr>
          <w:sz w:val="40"/>
          <w:szCs w:val="40"/>
          <w:lang w:val="es-AR"/>
        </w:rPr>
      </w:pPr>
    </w:p>
    <w:sectPr w:rsidR="005C153E">
      <w:headerReference w:type="default" r:id="rId8"/>
      <w:footerReference w:type="default" r:id="rId9"/>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9D" w:rsidRDefault="0007209D">
      <w:r>
        <w:separator/>
      </w:r>
    </w:p>
  </w:endnote>
  <w:endnote w:type="continuationSeparator" w:id="0">
    <w:p w:rsidR="0007209D" w:rsidRDefault="0007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3E" w:rsidRDefault="00B40D80">
    <w:pPr>
      <w:spacing w:before="120"/>
      <w:jc w:val="center"/>
      <w:rPr>
        <w:sz w:val="20"/>
      </w:rPr>
    </w:pPr>
    <w:r>
      <w:rPr>
        <w:sz w:val="20"/>
      </w:rPr>
      <w:t>SOLER 3909 - (1425)  BUENOS AIRES   TEL. 4824-7272/9505/9498/9489   FAX. 4822-7453  4823-1837</w:t>
    </w:r>
  </w:p>
  <w:p w:rsidR="005C153E" w:rsidRDefault="00B40D80">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9D" w:rsidRDefault="0007209D">
      <w:r>
        <w:separator/>
      </w:r>
    </w:p>
  </w:footnote>
  <w:footnote w:type="continuationSeparator" w:id="0">
    <w:p w:rsidR="0007209D" w:rsidRDefault="0007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3E" w:rsidRDefault="00B40D80">
    <w:pPr>
      <w:pStyle w:val="Epgrafe"/>
      <w:rPr>
        <w:lang w:val="es-AR" w:eastAsia="es-AR"/>
      </w:rPr>
    </w:pPr>
    <w:r>
      <w:rPr>
        <w:noProof/>
        <w:lang w:val="es-AR" w:eastAsia="es-AR"/>
      </w:rPr>
      <w:drawing>
        <wp:anchor distT="0" distB="0" distL="114935" distR="114935" simplePos="0" relativeHeight="6"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5C153E" w:rsidRDefault="005C153E">
    <w:pPr>
      <w:pStyle w:val="Epgrafe"/>
    </w:pPr>
  </w:p>
  <w:p w:rsidR="005C153E" w:rsidRDefault="005C153E">
    <w:pPr>
      <w:pStyle w:val="Epgrafe"/>
    </w:pPr>
  </w:p>
  <w:p w:rsidR="005C153E" w:rsidRDefault="005C153E">
    <w:pPr>
      <w:pStyle w:val="Epgrafe"/>
    </w:pPr>
  </w:p>
  <w:p w:rsidR="005C153E" w:rsidRDefault="005C153E">
    <w:pPr>
      <w:pStyle w:val="Epgrafe"/>
    </w:pPr>
  </w:p>
  <w:p w:rsidR="005C153E" w:rsidRDefault="005C153E">
    <w:pPr>
      <w:pStyle w:val="Epgrafe"/>
    </w:pPr>
  </w:p>
  <w:p w:rsidR="005C153E" w:rsidRDefault="005C153E">
    <w:pPr>
      <w:pStyle w:val="Epgrafe"/>
    </w:pPr>
  </w:p>
  <w:p w:rsidR="005C153E" w:rsidRDefault="00B40D80">
    <w:pPr>
      <w:pStyle w:val="Epgrafe"/>
    </w:pPr>
    <w:r>
      <w:t>CAMARA DEL COMERCIO AUTOMOTOR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429"/>
    <w:multiLevelType w:val="multilevel"/>
    <w:tmpl w:val="2DE03E5C"/>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pStyle w:val="Ttulo51"/>
      <w:suff w:val="nothing"/>
      <w:lvlText w:val=""/>
      <w:lvlJc w:val="left"/>
      <w:pPr>
        <w:tabs>
          <w:tab w:val="num" w:pos="0"/>
        </w:tabs>
        <w:ind w:left="0" w:firstLine="0"/>
      </w:pPr>
    </w:lvl>
    <w:lvl w:ilvl="5">
      <w:start w:val="1"/>
      <w:numFmt w:val="none"/>
      <w:pStyle w:val="Ttulo61"/>
      <w:suff w:val="nothing"/>
      <w:lvlText w:val=""/>
      <w:lvlJc w:val="left"/>
      <w:pPr>
        <w:tabs>
          <w:tab w:val="num" w:pos="0"/>
        </w:tabs>
        <w:ind w:left="0" w:firstLine="0"/>
      </w:pPr>
    </w:lvl>
    <w:lvl w:ilvl="6">
      <w:start w:val="1"/>
      <w:numFmt w:val="none"/>
      <w:pStyle w:val="Ttulo71"/>
      <w:suff w:val="nothing"/>
      <w:lvlText w:val=""/>
      <w:lvlJc w:val="left"/>
      <w:pPr>
        <w:tabs>
          <w:tab w:val="num" w:pos="0"/>
        </w:tabs>
        <w:ind w:left="0" w:firstLine="0"/>
      </w:pPr>
    </w:lvl>
    <w:lvl w:ilvl="7">
      <w:start w:val="1"/>
      <w:numFmt w:val="none"/>
      <w:pStyle w:val="Ttulo81"/>
      <w:suff w:val="nothing"/>
      <w:lvlText w:val=""/>
      <w:lvlJc w:val="left"/>
      <w:pPr>
        <w:tabs>
          <w:tab w:val="num" w:pos="0"/>
        </w:tabs>
        <w:ind w:left="0" w:firstLine="0"/>
      </w:pPr>
    </w:lvl>
    <w:lvl w:ilvl="8">
      <w:start w:val="1"/>
      <w:numFmt w:val="none"/>
      <w:pStyle w:val="Ttulo91"/>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3E"/>
    <w:rsid w:val="0007209D"/>
    <w:rsid w:val="00110D1D"/>
    <w:rsid w:val="001760B7"/>
    <w:rsid w:val="001B68A5"/>
    <w:rsid w:val="0024013C"/>
    <w:rsid w:val="0028066A"/>
    <w:rsid w:val="003547E1"/>
    <w:rsid w:val="003646E7"/>
    <w:rsid w:val="005C153E"/>
    <w:rsid w:val="005C5DB5"/>
    <w:rsid w:val="005D4B17"/>
    <w:rsid w:val="005D7C5D"/>
    <w:rsid w:val="006550DC"/>
    <w:rsid w:val="006E5A7B"/>
    <w:rsid w:val="007B7101"/>
    <w:rsid w:val="0082668C"/>
    <w:rsid w:val="00991930"/>
    <w:rsid w:val="009E0FE6"/>
    <w:rsid w:val="00A308B8"/>
    <w:rsid w:val="00A47032"/>
    <w:rsid w:val="00A91032"/>
    <w:rsid w:val="00B40D80"/>
    <w:rsid w:val="00D57027"/>
    <w:rsid w:val="00E1296C"/>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6E524C"/>
    <w:pPr>
      <w:keepNext/>
      <w:numPr>
        <w:numId w:val="1"/>
      </w:numPr>
      <w:outlineLvl w:val="0"/>
    </w:pPr>
    <w:rPr>
      <w:b/>
      <w:u w:val="single"/>
    </w:rPr>
  </w:style>
  <w:style w:type="paragraph" w:customStyle="1" w:styleId="Ttulo21">
    <w:name w:val="Título 21"/>
    <w:basedOn w:val="Normal"/>
    <w:next w:val="Normal"/>
    <w:qFormat/>
    <w:rsid w:val="006E524C"/>
    <w:pPr>
      <w:keepNext/>
      <w:numPr>
        <w:ilvl w:val="1"/>
        <w:numId w:val="1"/>
      </w:numPr>
      <w:outlineLvl w:val="1"/>
    </w:pPr>
  </w:style>
  <w:style w:type="paragraph" w:customStyle="1" w:styleId="Ttulo31">
    <w:name w:val="Título 31"/>
    <w:basedOn w:val="Normal"/>
    <w:next w:val="Normal"/>
    <w:qFormat/>
    <w:rsid w:val="006E524C"/>
    <w:pPr>
      <w:keepNext/>
      <w:numPr>
        <w:ilvl w:val="2"/>
        <w:numId w:val="1"/>
      </w:numPr>
      <w:jc w:val="right"/>
      <w:outlineLvl w:val="2"/>
    </w:pPr>
    <w:rPr>
      <w:sz w:val="28"/>
      <w:lang w:val="es-AR"/>
    </w:rPr>
  </w:style>
  <w:style w:type="paragraph" w:customStyle="1" w:styleId="Ttulo41">
    <w:name w:val="Título 41"/>
    <w:basedOn w:val="Normal"/>
    <w:next w:val="Normal"/>
    <w:qFormat/>
    <w:rsid w:val="006E524C"/>
    <w:pPr>
      <w:keepNext/>
      <w:numPr>
        <w:ilvl w:val="3"/>
        <w:numId w:val="1"/>
      </w:numPr>
      <w:outlineLvl w:val="3"/>
    </w:pPr>
    <w:rPr>
      <w:sz w:val="28"/>
    </w:rPr>
  </w:style>
  <w:style w:type="paragraph" w:customStyle="1" w:styleId="Ttulo51">
    <w:name w:val="Título 51"/>
    <w:basedOn w:val="Normal"/>
    <w:next w:val="Normal"/>
    <w:qFormat/>
    <w:rsid w:val="006E524C"/>
    <w:pPr>
      <w:keepNext/>
      <w:numPr>
        <w:ilvl w:val="4"/>
        <w:numId w:val="1"/>
      </w:numPr>
      <w:outlineLvl w:val="4"/>
    </w:pPr>
    <w:rPr>
      <w:b/>
      <w:sz w:val="28"/>
      <w:lang w:val="es-MX"/>
    </w:rPr>
  </w:style>
  <w:style w:type="paragraph" w:customStyle="1" w:styleId="Ttulo61">
    <w:name w:val="Título 61"/>
    <w:basedOn w:val="Normal"/>
    <w:next w:val="Normal"/>
    <w:qFormat/>
    <w:rsid w:val="006E524C"/>
    <w:pPr>
      <w:keepNext/>
      <w:numPr>
        <w:ilvl w:val="5"/>
        <w:numId w:val="1"/>
      </w:numPr>
      <w:outlineLvl w:val="5"/>
    </w:pPr>
    <w:rPr>
      <w:sz w:val="32"/>
      <w:lang w:val="es-MX"/>
    </w:rPr>
  </w:style>
  <w:style w:type="paragraph" w:customStyle="1" w:styleId="Ttulo71">
    <w:name w:val="Título 71"/>
    <w:basedOn w:val="Normal"/>
    <w:next w:val="Normal"/>
    <w:qFormat/>
    <w:rsid w:val="006E524C"/>
    <w:pPr>
      <w:keepNext/>
      <w:numPr>
        <w:ilvl w:val="6"/>
        <w:numId w:val="1"/>
      </w:numPr>
      <w:outlineLvl w:val="6"/>
    </w:pPr>
    <w:rPr>
      <w:sz w:val="28"/>
      <w:u w:val="single"/>
      <w:lang w:val="es-MX"/>
    </w:rPr>
  </w:style>
  <w:style w:type="paragraph" w:customStyle="1" w:styleId="Ttulo81">
    <w:name w:val="Título 81"/>
    <w:basedOn w:val="Normal"/>
    <w:next w:val="Normal"/>
    <w:qFormat/>
    <w:rsid w:val="006E524C"/>
    <w:pPr>
      <w:keepNext/>
      <w:numPr>
        <w:ilvl w:val="7"/>
        <w:numId w:val="1"/>
      </w:numPr>
      <w:outlineLvl w:val="7"/>
    </w:pPr>
    <w:rPr>
      <w:b/>
      <w:lang w:val="es-MX"/>
    </w:rPr>
  </w:style>
  <w:style w:type="paragraph" w:customStyle="1" w:styleId="Ttulo91">
    <w:name w:val="Título 91"/>
    <w:basedOn w:val="Normal"/>
    <w:next w:val="Normal"/>
    <w:qFormat/>
    <w:rsid w:val="006E524C"/>
    <w:pPr>
      <w:keepNext/>
      <w:numPr>
        <w:ilvl w:val="8"/>
        <w:numId w:val="1"/>
      </w:numPr>
      <w:outlineLvl w:val="8"/>
    </w:pPr>
    <w:rPr>
      <w:i/>
      <w:sz w:val="28"/>
      <w:lang w:val="es-MX"/>
    </w:rPr>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ndice">
    <w:name w:val="Índice"/>
    <w:basedOn w:val="Normal"/>
    <w:qFormat/>
    <w:rsid w:val="006E524C"/>
    <w:pPr>
      <w:suppressLineNumbers/>
    </w:pPr>
    <w:rPr>
      <w:rFonts w:cs="Arial"/>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rsid w:val="006E524C"/>
    <w:pPr>
      <w:tabs>
        <w:tab w:val="center" w:pos="4252"/>
        <w:tab w:val="right" w:pos="8504"/>
      </w:tabs>
    </w:pPr>
  </w:style>
  <w:style w:type="paragraph" w:customStyle="1" w:styleId="Piedepgina1">
    <w:name w:val="Pie de página1"/>
    <w:basedOn w:val="Normal"/>
    <w:rsid w:val="006E524C"/>
    <w:pPr>
      <w:tabs>
        <w:tab w:val="center" w:pos="4252"/>
        <w:tab w:val="right" w:pos="8504"/>
      </w:tabs>
    </w:pPr>
  </w:style>
  <w:style w:type="paragraph" w:styleId="Epgrafe">
    <w:name w:val="caption"/>
    <w:basedOn w:val="Normal"/>
    <w:next w:val="Normal"/>
    <w:qFormat/>
    <w:rsid w:val="006E524C"/>
    <w:pPr>
      <w:jc w:val="center"/>
    </w:pPr>
    <w:rPr>
      <w:b/>
      <w:spacing w:val="40"/>
    </w:r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6E524C"/>
    <w:pPr>
      <w:keepNext/>
      <w:numPr>
        <w:numId w:val="1"/>
      </w:numPr>
      <w:outlineLvl w:val="0"/>
    </w:pPr>
    <w:rPr>
      <w:b/>
      <w:u w:val="single"/>
    </w:rPr>
  </w:style>
  <w:style w:type="paragraph" w:customStyle="1" w:styleId="Ttulo21">
    <w:name w:val="Título 21"/>
    <w:basedOn w:val="Normal"/>
    <w:next w:val="Normal"/>
    <w:qFormat/>
    <w:rsid w:val="006E524C"/>
    <w:pPr>
      <w:keepNext/>
      <w:numPr>
        <w:ilvl w:val="1"/>
        <w:numId w:val="1"/>
      </w:numPr>
      <w:outlineLvl w:val="1"/>
    </w:pPr>
  </w:style>
  <w:style w:type="paragraph" w:customStyle="1" w:styleId="Ttulo31">
    <w:name w:val="Título 31"/>
    <w:basedOn w:val="Normal"/>
    <w:next w:val="Normal"/>
    <w:qFormat/>
    <w:rsid w:val="006E524C"/>
    <w:pPr>
      <w:keepNext/>
      <w:numPr>
        <w:ilvl w:val="2"/>
        <w:numId w:val="1"/>
      </w:numPr>
      <w:jc w:val="right"/>
      <w:outlineLvl w:val="2"/>
    </w:pPr>
    <w:rPr>
      <w:sz w:val="28"/>
      <w:lang w:val="es-AR"/>
    </w:rPr>
  </w:style>
  <w:style w:type="paragraph" w:customStyle="1" w:styleId="Ttulo41">
    <w:name w:val="Título 41"/>
    <w:basedOn w:val="Normal"/>
    <w:next w:val="Normal"/>
    <w:qFormat/>
    <w:rsid w:val="006E524C"/>
    <w:pPr>
      <w:keepNext/>
      <w:numPr>
        <w:ilvl w:val="3"/>
        <w:numId w:val="1"/>
      </w:numPr>
      <w:outlineLvl w:val="3"/>
    </w:pPr>
    <w:rPr>
      <w:sz w:val="28"/>
    </w:rPr>
  </w:style>
  <w:style w:type="paragraph" w:customStyle="1" w:styleId="Ttulo51">
    <w:name w:val="Título 51"/>
    <w:basedOn w:val="Normal"/>
    <w:next w:val="Normal"/>
    <w:qFormat/>
    <w:rsid w:val="006E524C"/>
    <w:pPr>
      <w:keepNext/>
      <w:numPr>
        <w:ilvl w:val="4"/>
        <w:numId w:val="1"/>
      </w:numPr>
      <w:outlineLvl w:val="4"/>
    </w:pPr>
    <w:rPr>
      <w:b/>
      <w:sz w:val="28"/>
      <w:lang w:val="es-MX"/>
    </w:rPr>
  </w:style>
  <w:style w:type="paragraph" w:customStyle="1" w:styleId="Ttulo61">
    <w:name w:val="Título 61"/>
    <w:basedOn w:val="Normal"/>
    <w:next w:val="Normal"/>
    <w:qFormat/>
    <w:rsid w:val="006E524C"/>
    <w:pPr>
      <w:keepNext/>
      <w:numPr>
        <w:ilvl w:val="5"/>
        <w:numId w:val="1"/>
      </w:numPr>
      <w:outlineLvl w:val="5"/>
    </w:pPr>
    <w:rPr>
      <w:sz w:val="32"/>
      <w:lang w:val="es-MX"/>
    </w:rPr>
  </w:style>
  <w:style w:type="paragraph" w:customStyle="1" w:styleId="Ttulo71">
    <w:name w:val="Título 71"/>
    <w:basedOn w:val="Normal"/>
    <w:next w:val="Normal"/>
    <w:qFormat/>
    <w:rsid w:val="006E524C"/>
    <w:pPr>
      <w:keepNext/>
      <w:numPr>
        <w:ilvl w:val="6"/>
        <w:numId w:val="1"/>
      </w:numPr>
      <w:outlineLvl w:val="6"/>
    </w:pPr>
    <w:rPr>
      <w:sz w:val="28"/>
      <w:u w:val="single"/>
      <w:lang w:val="es-MX"/>
    </w:rPr>
  </w:style>
  <w:style w:type="paragraph" w:customStyle="1" w:styleId="Ttulo81">
    <w:name w:val="Título 81"/>
    <w:basedOn w:val="Normal"/>
    <w:next w:val="Normal"/>
    <w:qFormat/>
    <w:rsid w:val="006E524C"/>
    <w:pPr>
      <w:keepNext/>
      <w:numPr>
        <w:ilvl w:val="7"/>
        <w:numId w:val="1"/>
      </w:numPr>
      <w:outlineLvl w:val="7"/>
    </w:pPr>
    <w:rPr>
      <w:b/>
      <w:lang w:val="es-MX"/>
    </w:rPr>
  </w:style>
  <w:style w:type="paragraph" w:customStyle="1" w:styleId="Ttulo91">
    <w:name w:val="Título 91"/>
    <w:basedOn w:val="Normal"/>
    <w:next w:val="Normal"/>
    <w:qFormat/>
    <w:rsid w:val="006E524C"/>
    <w:pPr>
      <w:keepNext/>
      <w:numPr>
        <w:ilvl w:val="8"/>
        <w:numId w:val="1"/>
      </w:numPr>
      <w:outlineLvl w:val="8"/>
    </w:pPr>
    <w:rPr>
      <w:i/>
      <w:sz w:val="28"/>
      <w:lang w:val="es-MX"/>
    </w:rPr>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ndice">
    <w:name w:val="Índice"/>
    <w:basedOn w:val="Normal"/>
    <w:qFormat/>
    <w:rsid w:val="006E524C"/>
    <w:pPr>
      <w:suppressLineNumbers/>
    </w:pPr>
    <w:rPr>
      <w:rFonts w:cs="Arial"/>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rsid w:val="006E524C"/>
    <w:pPr>
      <w:tabs>
        <w:tab w:val="center" w:pos="4252"/>
        <w:tab w:val="right" w:pos="8504"/>
      </w:tabs>
    </w:pPr>
  </w:style>
  <w:style w:type="paragraph" w:customStyle="1" w:styleId="Piedepgina1">
    <w:name w:val="Pie de página1"/>
    <w:basedOn w:val="Normal"/>
    <w:rsid w:val="006E524C"/>
    <w:pPr>
      <w:tabs>
        <w:tab w:val="center" w:pos="4252"/>
        <w:tab w:val="right" w:pos="8504"/>
      </w:tabs>
    </w:pPr>
  </w:style>
  <w:style w:type="paragraph" w:styleId="Epgrafe">
    <w:name w:val="caption"/>
    <w:basedOn w:val="Normal"/>
    <w:next w:val="Normal"/>
    <w:qFormat/>
    <w:rsid w:val="006E524C"/>
    <w:pPr>
      <w:jc w:val="center"/>
    </w:pPr>
    <w:rPr>
      <w:b/>
      <w:spacing w:val="40"/>
    </w:r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2</cp:revision>
  <dcterms:created xsi:type="dcterms:W3CDTF">2022-04-08T13:50:00Z</dcterms:created>
  <dcterms:modified xsi:type="dcterms:W3CDTF">2022-04-08T13:50:00Z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