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4" w:rsidRDefault="00025174">
      <w:pPr>
        <w:rPr>
          <w:lang w:val="es-MX"/>
        </w:rPr>
      </w:pPr>
      <w:bookmarkStart w:id="0" w:name="_GoBack"/>
      <w:bookmarkEnd w:id="0"/>
    </w:p>
    <w:p w:rsidR="00025174" w:rsidRDefault="00025174">
      <w:pPr>
        <w:rPr>
          <w:lang w:val="es-MX"/>
        </w:rPr>
      </w:pPr>
    </w:p>
    <w:p w:rsidR="00025174" w:rsidRDefault="00B37CD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025174" w:rsidRDefault="00025174">
      <w:pPr>
        <w:rPr>
          <w:b/>
          <w:sz w:val="36"/>
          <w:szCs w:val="36"/>
        </w:rPr>
      </w:pPr>
    </w:p>
    <w:p w:rsidR="00025174" w:rsidRDefault="00025174">
      <w:pPr>
        <w:rPr>
          <w:b/>
          <w:sz w:val="36"/>
          <w:szCs w:val="36"/>
          <w:u w:val="single"/>
        </w:rPr>
      </w:pPr>
    </w:p>
    <w:p w:rsidR="00025174" w:rsidRDefault="00B37CD1">
      <w:r>
        <w:rPr>
          <w:b/>
          <w:sz w:val="36"/>
          <w:szCs w:val="36"/>
          <w:u w:val="single"/>
        </w:rPr>
        <w:t xml:space="preserve">EN AGOSTO SE VENDIERON 153.386 VEHÍCULOS USADOS  </w:t>
      </w:r>
    </w:p>
    <w:p w:rsidR="00025174" w:rsidRDefault="00025174">
      <w:pPr>
        <w:rPr>
          <w:b/>
          <w:sz w:val="36"/>
          <w:szCs w:val="36"/>
          <w:u w:val="single"/>
        </w:rPr>
      </w:pPr>
    </w:p>
    <w:p w:rsidR="00025174" w:rsidRDefault="00025174">
      <w:pPr>
        <w:rPr>
          <w:b/>
          <w:sz w:val="36"/>
          <w:szCs w:val="36"/>
          <w:u w:val="single"/>
        </w:rPr>
      </w:pPr>
    </w:p>
    <w:p w:rsidR="00025174" w:rsidRDefault="00B37CD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EL PERÍODO ENERO-AGOSTO SE COMERCIALIZARON 1.084.041 UNIDADES</w:t>
      </w:r>
    </w:p>
    <w:p w:rsidR="00025174" w:rsidRDefault="00025174">
      <w:pPr>
        <w:rPr>
          <w:b/>
          <w:sz w:val="36"/>
          <w:szCs w:val="36"/>
          <w:u w:val="single"/>
        </w:rPr>
      </w:pPr>
    </w:p>
    <w:p w:rsidR="00025174" w:rsidRDefault="00025174">
      <w:pPr>
        <w:rPr>
          <w:sz w:val="36"/>
          <w:szCs w:val="36"/>
        </w:rPr>
      </w:pPr>
    </w:p>
    <w:p w:rsidR="00025174" w:rsidRDefault="00B37CD1">
      <w:r>
        <w:rPr>
          <w:sz w:val="36"/>
          <w:szCs w:val="36"/>
        </w:rPr>
        <w:t xml:space="preserve">La Cámara del Comercio Automotor (CCA) informó que en el mes de agosto se comercializó en Argentina 153.386 vehículos usados, una baja del 0,54% comparado con igual mes de 2020 cuando se vendieron 154.216 unidades. </w:t>
      </w:r>
    </w:p>
    <w:p w:rsidR="00025174" w:rsidRDefault="00025174">
      <w:pPr>
        <w:rPr>
          <w:sz w:val="36"/>
          <w:szCs w:val="36"/>
        </w:rPr>
      </w:pPr>
    </w:p>
    <w:p w:rsidR="00025174" w:rsidRDefault="00B37CD1">
      <w:r>
        <w:rPr>
          <w:sz w:val="36"/>
          <w:szCs w:val="36"/>
        </w:rPr>
        <w:t>Si lo comparamos con el mes de julio de</w:t>
      </w:r>
      <w:r>
        <w:rPr>
          <w:sz w:val="36"/>
          <w:szCs w:val="36"/>
        </w:rPr>
        <w:t xml:space="preserve"> 2021 (148.253 unidades)  el aumento llega 3,46%.</w:t>
      </w:r>
    </w:p>
    <w:p w:rsidR="00025174" w:rsidRDefault="00025174"/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>En los primeros ocho meses del año se vendieron 1.084.041 autos usados, un crecimiento del 20,67% con respecto a igual período de 2020 cuando se comercializaron 898.378 unidades.</w:t>
      </w:r>
    </w:p>
    <w:p w:rsidR="00025174" w:rsidRDefault="00025174">
      <w:pPr>
        <w:rPr>
          <w:sz w:val="36"/>
          <w:szCs w:val="36"/>
        </w:rPr>
      </w:pPr>
    </w:p>
    <w:p w:rsidR="00025174" w:rsidRDefault="00025174">
      <w:pPr>
        <w:rPr>
          <w:sz w:val="36"/>
          <w:szCs w:val="36"/>
        </w:rPr>
      </w:pPr>
    </w:p>
    <w:p w:rsidR="00025174" w:rsidRDefault="00025174">
      <w:pPr>
        <w:rPr>
          <w:b/>
          <w:sz w:val="36"/>
          <w:szCs w:val="36"/>
          <w:u w:val="single"/>
        </w:rPr>
      </w:pPr>
    </w:p>
    <w:p w:rsidR="00025174" w:rsidRDefault="00025174">
      <w:pPr>
        <w:rPr>
          <w:b/>
          <w:sz w:val="36"/>
          <w:szCs w:val="36"/>
          <w:u w:val="single"/>
        </w:rPr>
      </w:pPr>
    </w:p>
    <w:p w:rsidR="00025174" w:rsidRDefault="00B37CD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DECLARACIONES DE ALEJA</w:t>
      </w:r>
      <w:r>
        <w:rPr>
          <w:b/>
          <w:sz w:val="36"/>
          <w:szCs w:val="36"/>
          <w:u w:val="single"/>
        </w:rPr>
        <w:t xml:space="preserve">NDRO LAMAS, SECRETARIO DE LA CÁMARA DEL COMERCIO AUTOMOTOR (CCA)  </w:t>
      </w:r>
    </w:p>
    <w:p w:rsidR="00025174" w:rsidRDefault="00025174">
      <w:pPr>
        <w:rPr>
          <w:b/>
          <w:sz w:val="36"/>
          <w:szCs w:val="36"/>
          <w:u w:val="single"/>
        </w:rPr>
      </w:pP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 xml:space="preserve">“Mes a mes el mercado nos sigue sorprendiendo. Cuando pensábamos que agosto terminaba a la baja, no sólo creció con julio sino que prácticamente igualó el volumen de agosto de 2020”, dijo </w:t>
      </w:r>
      <w:r>
        <w:rPr>
          <w:sz w:val="36"/>
          <w:szCs w:val="36"/>
        </w:rPr>
        <w:t xml:space="preserve">Alejandro Lamas. 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>“Estamos inmersos en un mercado totalmente distorsionado. Pese a este crecimiento, la falta de autos usados y repuestos es alarmante. El mercado está totalmente demandado, llevando los precios de los autos usados en muchos casos por encim</w:t>
      </w:r>
      <w:r>
        <w:rPr>
          <w:sz w:val="36"/>
          <w:szCs w:val="36"/>
        </w:rPr>
        <w:t xml:space="preserve">a de los 0km”, explicó el directivo. 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 xml:space="preserve">“Esto está haciendo que prácticamente los locales de las agencias se estén quedando sin producto y por consiguiente se deje de vender porque sin autos los comercios se funden. Esta es la cruda realidad de las agencias </w:t>
      </w:r>
      <w:r>
        <w:rPr>
          <w:sz w:val="36"/>
          <w:szCs w:val="36"/>
        </w:rPr>
        <w:t>del país”, mencionó Lamas. “Dicho esto, debemos mencionar que la dinámica habitual del mercado se mueve según el contexto económico en que se viva, entre 2 o 2,2 millones de personas de Argentina todos los años compra un auto 0km o un usado. En su gran may</w:t>
      </w:r>
      <w:r>
        <w:rPr>
          <w:sz w:val="36"/>
          <w:szCs w:val="36"/>
        </w:rPr>
        <w:t xml:space="preserve">oría este último. Pero, en la actualidad con la pandemia, la macroeconomía, las restricciones a las importaciones no esenciales, el mercado se </w:t>
      </w:r>
    </w:p>
    <w:p w:rsidR="00025174" w:rsidRDefault="00025174">
      <w:pPr>
        <w:rPr>
          <w:sz w:val="36"/>
          <w:szCs w:val="36"/>
        </w:rPr>
      </w:pPr>
    </w:p>
    <w:p w:rsidR="00025174" w:rsidRDefault="00025174">
      <w:pPr>
        <w:rPr>
          <w:sz w:val="36"/>
          <w:szCs w:val="36"/>
        </w:rPr>
      </w:pPr>
    </w:p>
    <w:p w:rsidR="00025174" w:rsidRDefault="00025174">
      <w:pPr>
        <w:rPr>
          <w:sz w:val="36"/>
          <w:szCs w:val="36"/>
        </w:rPr>
      </w:pPr>
    </w:p>
    <w:p w:rsidR="00025174" w:rsidRDefault="00025174">
      <w:pPr>
        <w:rPr>
          <w:sz w:val="36"/>
          <w:szCs w:val="36"/>
        </w:rPr>
      </w:pP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 xml:space="preserve">volvió totalmente inestable. Los próximos meses apuntan a ser complicados, más de lo que pensábamos”, </w:t>
      </w:r>
      <w:r>
        <w:rPr>
          <w:sz w:val="36"/>
          <w:szCs w:val="36"/>
        </w:rPr>
        <w:t xml:space="preserve">expresó el ejecutivo. </w:t>
      </w:r>
    </w:p>
    <w:p w:rsidR="00025174" w:rsidRDefault="00025174">
      <w:pPr>
        <w:rPr>
          <w:sz w:val="36"/>
          <w:szCs w:val="36"/>
        </w:rPr>
      </w:pPr>
    </w:p>
    <w:p w:rsidR="00025174" w:rsidRDefault="00B37CD1">
      <w:pPr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Ranking 10 usados más vendidos en Argentina durante agosto 2021</w:t>
      </w:r>
    </w:p>
    <w:p w:rsidR="00025174" w:rsidRDefault="00025174">
      <w:pPr>
        <w:rPr>
          <w:b/>
          <w:bCs/>
          <w:sz w:val="36"/>
          <w:szCs w:val="36"/>
          <w:lang w:val="es-AR"/>
        </w:rPr>
      </w:pP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1-VW Gol y Trend: 9.533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2-Chev. </w:t>
      </w:r>
      <w:r>
        <w:rPr>
          <w:sz w:val="36"/>
          <w:szCs w:val="36"/>
          <w:lang w:val="es-AR"/>
        </w:rPr>
        <w:t>Corsa y Classic: 5.607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3-Toyota Hilux: 4.409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4-Renault Clio: 3.978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5-Ford Fiesta: 3.753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6-Fiat Palio: 3.338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7-Ford EcoSport: 3.308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8-Ford Focus: 3.196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9-Ford Ranger: 3.155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n-US"/>
        </w:rPr>
        <w:t>10- Ford Ka: 2.960</w:t>
      </w:r>
    </w:p>
    <w:p w:rsidR="00025174" w:rsidRDefault="00025174">
      <w:pPr>
        <w:rPr>
          <w:sz w:val="36"/>
          <w:szCs w:val="36"/>
        </w:rPr>
      </w:pPr>
    </w:p>
    <w:p w:rsidR="00025174" w:rsidRDefault="00B37CD1">
      <w:r>
        <w:rPr>
          <w:b/>
          <w:bCs/>
          <w:sz w:val="32"/>
          <w:szCs w:val="32"/>
          <w:u w:val="single"/>
          <w:lang w:val="es-AR"/>
        </w:rPr>
        <w:t>Por</w:t>
      </w:r>
      <w:r>
        <w:rPr>
          <w:b/>
          <w:bCs/>
          <w:sz w:val="36"/>
          <w:szCs w:val="36"/>
          <w:u w:val="single"/>
          <w:lang w:val="es-AR"/>
        </w:rPr>
        <w:t>centaje de crecimiento de las provincias en el período enero-agosto 2021</w:t>
      </w:r>
    </w:p>
    <w:p w:rsidR="00025174" w:rsidRDefault="00025174">
      <w:pPr>
        <w:rPr>
          <w:b/>
          <w:bCs/>
          <w:sz w:val="36"/>
          <w:szCs w:val="36"/>
          <w:u w:val="single"/>
          <w:lang w:val="es-AR"/>
        </w:rPr>
      </w:pP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CABA: 52,76%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Tierra del Fuego: 36,76%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Jujuy: 36,63%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La Rioja: 29,78%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lastRenderedPageBreak/>
        <w:t>Pcia. Bs.As.: 28,66%</w:t>
      </w:r>
    </w:p>
    <w:p w:rsidR="00025174" w:rsidRDefault="00025174">
      <w:pPr>
        <w:rPr>
          <w:sz w:val="36"/>
          <w:szCs w:val="36"/>
        </w:rPr>
      </w:pPr>
    </w:p>
    <w:p w:rsidR="00025174" w:rsidRDefault="00025174">
      <w:pPr>
        <w:rPr>
          <w:sz w:val="36"/>
          <w:szCs w:val="36"/>
        </w:rPr>
      </w:pP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Chubut: 26,66%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Santiago de</w:t>
      </w:r>
      <w:r>
        <w:rPr>
          <w:sz w:val="36"/>
          <w:szCs w:val="36"/>
          <w:lang w:val="es-AR"/>
        </w:rPr>
        <w:t>l Estero: 22%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Neuquén: 21,15%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Río Negro: 18,41%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Santa Cruz: 17,71%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Chaco: 16,02%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 Luis: 14,58%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Salta: 14,33%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Córdoba: 13,60%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La Pampa: 10,63%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Corrientes: 8,77%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Santa Fe: 8,64%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Misiones: 7,93%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Entre Ríos: 5,52%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Mendoza: 4,82%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  <w:lang w:val="es-AR"/>
        </w:rPr>
        <w:t>Tucumán: 4,23%</w:t>
      </w:r>
    </w:p>
    <w:p w:rsidR="00025174" w:rsidRDefault="00025174">
      <w:pPr>
        <w:rPr>
          <w:sz w:val="36"/>
          <w:szCs w:val="36"/>
        </w:rPr>
      </w:pPr>
    </w:p>
    <w:p w:rsidR="00025174" w:rsidRDefault="00B37CD1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Provincias </w:t>
      </w:r>
      <w:r>
        <w:rPr>
          <w:b/>
          <w:bCs/>
          <w:sz w:val="36"/>
          <w:szCs w:val="36"/>
        </w:rPr>
        <w:t>que bajaron en el período enero-agosto 2021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>Formosa: 7%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>San Juan: 2,52%</w:t>
      </w:r>
    </w:p>
    <w:p w:rsidR="00025174" w:rsidRDefault="00B37CD1">
      <w:pPr>
        <w:rPr>
          <w:sz w:val="36"/>
          <w:szCs w:val="36"/>
        </w:rPr>
      </w:pPr>
      <w:r>
        <w:rPr>
          <w:sz w:val="36"/>
          <w:szCs w:val="36"/>
        </w:rPr>
        <w:t>Catamarca: 2,27%</w:t>
      </w:r>
    </w:p>
    <w:p w:rsidR="00025174" w:rsidRDefault="00025174">
      <w:pPr>
        <w:rPr>
          <w:sz w:val="32"/>
          <w:szCs w:val="32"/>
          <w:u w:val="single"/>
          <w:lang w:val="es-AR"/>
        </w:rPr>
      </w:pPr>
    </w:p>
    <w:p w:rsidR="00025174" w:rsidRDefault="00B37CD1">
      <w:pPr>
        <w:rPr>
          <w:b/>
          <w:bCs/>
        </w:rPr>
      </w:pPr>
      <w:r>
        <w:rPr>
          <w:b/>
          <w:bCs/>
          <w:sz w:val="36"/>
          <w:szCs w:val="36"/>
          <w:lang w:val="es-AR"/>
        </w:rPr>
        <w:t>Buenos Aires, septiembre 2021</w:t>
      </w:r>
    </w:p>
    <w:p w:rsidR="00025174" w:rsidRDefault="00025174">
      <w:pPr>
        <w:rPr>
          <w:sz w:val="40"/>
          <w:szCs w:val="40"/>
          <w:lang w:val="es-AR"/>
        </w:rPr>
      </w:pPr>
    </w:p>
    <w:p w:rsidR="00025174" w:rsidRDefault="00025174">
      <w:pPr>
        <w:rPr>
          <w:sz w:val="40"/>
          <w:szCs w:val="40"/>
          <w:lang w:val="es-AR"/>
        </w:rPr>
      </w:pPr>
    </w:p>
    <w:p w:rsidR="00025174" w:rsidRDefault="00025174">
      <w:pPr>
        <w:rPr>
          <w:sz w:val="40"/>
          <w:szCs w:val="40"/>
          <w:lang w:val="es-AR"/>
        </w:rPr>
      </w:pPr>
    </w:p>
    <w:p w:rsidR="00025174" w:rsidRDefault="00025174">
      <w:pPr>
        <w:rPr>
          <w:sz w:val="40"/>
          <w:szCs w:val="40"/>
          <w:lang w:val="es-AR"/>
        </w:rPr>
      </w:pPr>
    </w:p>
    <w:p w:rsidR="00025174" w:rsidRDefault="00025174">
      <w:pPr>
        <w:rPr>
          <w:sz w:val="40"/>
          <w:szCs w:val="40"/>
          <w:lang w:val="es-AR"/>
        </w:rPr>
      </w:pPr>
    </w:p>
    <w:sectPr w:rsidR="00025174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D1" w:rsidRDefault="00B37CD1">
      <w:r>
        <w:separator/>
      </w:r>
    </w:p>
  </w:endnote>
  <w:endnote w:type="continuationSeparator" w:id="0">
    <w:p w:rsidR="00B37CD1" w:rsidRDefault="00B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74" w:rsidRDefault="00B37CD1">
    <w:pPr>
      <w:spacing w:before="120"/>
      <w:jc w:val="center"/>
      <w:rPr>
        <w:sz w:val="20"/>
      </w:rPr>
    </w:pPr>
    <w:r>
      <w:rPr>
        <w:sz w:val="20"/>
      </w:rPr>
      <w:t xml:space="preserve">SOLER 3909 - (1425)  </w:t>
    </w:r>
    <w:r>
      <w:rPr>
        <w:sz w:val="20"/>
      </w:rPr>
      <w:t>BUENOS AIRES   TEL. 4824-7272/9505/9498/9489   FAX. 4822-7453  4823-1837</w:t>
    </w:r>
  </w:p>
  <w:p w:rsidR="00025174" w:rsidRDefault="00B37CD1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D1" w:rsidRDefault="00B37CD1">
      <w:r>
        <w:separator/>
      </w:r>
    </w:p>
  </w:footnote>
  <w:footnote w:type="continuationSeparator" w:id="0">
    <w:p w:rsidR="00B37CD1" w:rsidRDefault="00B3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74" w:rsidRDefault="00B37CD1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5174" w:rsidRDefault="00025174">
    <w:pPr>
      <w:pStyle w:val="Epgrafe"/>
    </w:pPr>
  </w:p>
  <w:p w:rsidR="00025174" w:rsidRDefault="00025174">
    <w:pPr>
      <w:pStyle w:val="Epgrafe"/>
    </w:pPr>
  </w:p>
  <w:p w:rsidR="00025174" w:rsidRDefault="00025174">
    <w:pPr>
      <w:pStyle w:val="Epgrafe"/>
    </w:pPr>
  </w:p>
  <w:p w:rsidR="00025174" w:rsidRDefault="00025174">
    <w:pPr>
      <w:pStyle w:val="Epgrafe"/>
    </w:pPr>
  </w:p>
  <w:p w:rsidR="00025174" w:rsidRDefault="00025174">
    <w:pPr>
      <w:pStyle w:val="Epgrafe"/>
    </w:pPr>
  </w:p>
  <w:p w:rsidR="00025174" w:rsidRDefault="00025174">
    <w:pPr>
      <w:pStyle w:val="Epgrafe"/>
    </w:pPr>
  </w:p>
  <w:p w:rsidR="00025174" w:rsidRDefault="00B37CD1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C38"/>
    <w:multiLevelType w:val="multilevel"/>
    <w:tmpl w:val="E084C588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74"/>
    <w:rsid w:val="00025174"/>
    <w:rsid w:val="00A91B04"/>
    <w:rsid w:val="00B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Javi Frontera</cp:lastModifiedBy>
  <cp:revision>2</cp:revision>
  <dcterms:created xsi:type="dcterms:W3CDTF">2021-09-06T15:28:00Z</dcterms:created>
  <dcterms:modified xsi:type="dcterms:W3CDTF">2021-09-06T15:28:00Z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