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4D" w:rsidRDefault="001E0E4D">
      <w:pPr>
        <w:rPr>
          <w:lang w:val="es-MX"/>
        </w:rPr>
      </w:pPr>
      <w:bookmarkStart w:id="0" w:name="_GoBack"/>
      <w:bookmarkEnd w:id="0"/>
    </w:p>
    <w:p w:rsidR="001E0E4D" w:rsidRDefault="001E0E4D">
      <w:pPr>
        <w:rPr>
          <w:lang w:val="es-MX"/>
        </w:rPr>
      </w:pPr>
    </w:p>
    <w:p w:rsidR="001E0E4D" w:rsidRDefault="00FC5E8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1E0E4D" w:rsidRDefault="001E0E4D">
      <w:pPr>
        <w:rPr>
          <w:b/>
          <w:sz w:val="36"/>
          <w:szCs w:val="36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FC5E8A">
      <w:r>
        <w:rPr>
          <w:b/>
          <w:sz w:val="36"/>
          <w:szCs w:val="36"/>
          <w:u w:val="single"/>
        </w:rPr>
        <w:t xml:space="preserve">EN JULIO SE VENDIERON 148.253 VEHÍCULOS USADOS  </w:t>
      </w: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FC5E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EL PERÍODO ENERO-JULIO SE COMERCIALIZARON 930.655 UNIDADES</w:t>
      </w: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sz w:val="36"/>
          <w:szCs w:val="36"/>
        </w:rPr>
      </w:pPr>
    </w:p>
    <w:p w:rsidR="001E0E4D" w:rsidRDefault="00FC5E8A">
      <w:r>
        <w:rPr>
          <w:sz w:val="36"/>
          <w:szCs w:val="36"/>
        </w:rPr>
        <w:t xml:space="preserve">La Cámara del Comercio Automotor (CCA) informó que en el mes de julio se comercializó en Argentina 148.253 vehículos usados, una suba del 0.68% comparado con igual mes de 2020 cuando se vendieron 147.252 unidades. </w:t>
      </w:r>
    </w:p>
    <w:p w:rsidR="001E0E4D" w:rsidRDefault="001E0E4D">
      <w:pPr>
        <w:rPr>
          <w:sz w:val="36"/>
          <w:szCs w:val="36"/>
        </w:rPr>
      </w:pPr>
    </w:p>
    <w:p w:rsidR="001E0E4D" w:rsidRDefault="00FC5E8A">
      <w:r>
        <w:rPr>
          <w:sz w:val="36"/>
          <w:szCs w:val="36"/>
        </w:rPr>
        <w:t xml:space="preserve">Si lo comparamos con el mes de junio de </w:t>
      </w:r>
      <w:r>
        <w:rPr>
          <w:sz w:val="36"/>
          <w:szCs w:val="36"/>
        </w:rPr>
        <w:t>2021 (142.194 unidades)  el aumento llega 4,26%.</w:t>
      </w:r>
    </w:p>
    <w:p w:rsidR="001E0E4D" w:rsidRDefault="001E0E4D"/>
    <w:p w:rsidR="001E0E4D" w:rsidRDefault="00FC5E8A">
      <w:pPr>
        <w:rPr>
          <w:sz w:val="36"/>
          <w:szCs w:val="36"/>
        </w:rPr>
      </w:pPr>
      <w:r>
        <w:rPr>
          <w:sz w:val="36"/>
          <w:szCs w:val="36"/>
        </w:rPr>
        <w:t>En los primeros siete meses del año se vendieron 930.655 autos usados, un crecimiento del 25,06% con respecto a igual período de 2020 cuando se comercializaron 744.163 unidades.</w:t>
      </w:r>
    </w:p>
    <w:p w:rsidR="001E0E4D" w:rsidRDefault="001E0E4D">
      <w:pPr>
        <w:rPr>
          <w:sz w:val="36"/>
          <w:szCs w:val="36"/>
        </w:rPr>
      </w:pPr>
    </w:p>
    <w:p w:rsidR="001E0E4D" w:rsidRDefault="001E0E4D">
      <w:pPr>
        <w:rPr>
          <w:sz w:val="36"/>
          <w:szCs w:val="36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FC5E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DEC</w:t>
      </w:r>
      <w:r>
        <w:rPr>
          <w:b/>
          <w:sz w:val="36"/>
          <w:szCs w:val="36"/>
          <w:u w:val="single"/>
        </w:rPr>
        <w:t>LARACIONES DE ALBERT</w:t>
      </w:r>
      <w:r>
        <w:rPr>
          <w:b/>
          <w:sz w:val="36"/>
          <w:szCs w:val="36"/>
          <w:u w:val="single"/>
        </w:rPr>
        <w:t xml:space="preserve">O PRÍNCIPE, PRESIDENTE DE LA CÁMARA DEL COMERCIO AUTOMOTOR (CCA)  </w:t>
      </w: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FC5E8A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>Después de un primer semestre signado por subas y bajas en la comercialización de autos usados, julio es el segundo mes consecutivo en el que el mercado crece. Esto significa un cambio de</w:t>
      </w:r>
      <w:r>
        <w:rPr>
          <w:sz w:val="36"/>
          <w:szCs w:val="36"/>
        </w:rPr>
        <w:t xml:space="preserve"> tendencia en las ventas? En absoluto. El mercado continua inestable pese a estas leves mejorias. Las consultas en los locales continuan sin repuntar pese a que los autos están encontrando su verdadero precio en el mercado. Además, nos encontramos  nuevame</w:t>
      </w:r>
      <w:r>
        <w:rPr>
          <w:sz w:val="36"/>
          <w:szCs w:val="36"/>
        </w:rPr>
        <w:t>nte con faltante de autos en la franja seminuevos en nuestros locales, debido a la poca entrega de ciertos productos 0km. La pandemia nos mostró una nueva realidad. Las agencias se están adecuando a esta nueva forma de negocio y en muchos casos reconvirtíe</w:t>
      </w:r>
      <w:r>
        <w:rPr>
          <w:sz w:val="36"/>
          <w:szCs w:val="36"/>
        </w:rPr>
        <w:t xml:space="preserve">ndose, ofreciendo nuevas alternativas de servicios.   </w:t>
      </w: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1E0E4D">
      <w:pPr>
        <w:rPr>
          <w:b/>
          <w:sz w:val="36"/>
          <w:szCs w:val="36"/>
          <w:u w:val="single"/>
        </w:rPr>
      </w:pPr>
    </w:p>
    <w:p w:rsidR="001E0E4D" w:rsidRDefault="00FC5E8A">
      <w:pPr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Ranking 10 usados más vendidos en Argentina durante julio 2021</w:t>
      </w:r>
    </w:p>
    <w:p w:rsidR="001E0E4D" w:rsidRDefault="001E0E4D">
      <w:pPr>
        <w:rPr>
          <w:b/>
          <w:bCs/>
          <w:sz w:val="36"/>
          <w:szCs w:val="36"/>
          <w:lang w:val="es-AR"/>
        </w:rPr>
      </w:pP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n-US"/>
        </w:rPr>
        <w:t>1-VW Gol y Trend: 9.554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2-Chev. </w:t>
      </w:r>
      <w:r>
        <w:rPr>
          <w:sz w:val="36"/>
          <w:szCs w:val="36"/>
          <w:lang w:val="es-AR"/>
        </w:rPr>
        <w:t>Corsa y Classic: 5.314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3-Toyota Hilux: 4.384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n-US"/>
        </w:rPr>
        <w:t>4-Renault Clio: 3.931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n-US"/>
        </w:rPr>
        <w:t>5-Ford Fiesta: 3.602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n-US"/>
        </w:rPr>
        <w:t>6-Fiat Palio:</w:t>
      </w:r>
      <w:r>
        <w:rPr>
          <w:sz w:val="36"/>
          <w:szCs w:val="36"/>
          <w:lang w:val="en-US"/>
        </w:rPr>
        <w:t xml:space="preserve"> 3.189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n-US"/>
        </w:rPr>
        <w:t>7-Ford Ranger: 3.084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8-Ford Focus: 3.006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9-Ford EcoSport: 2.980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10-Ford Ka: 2.901</w:t>
      </w:r>
    </w:p>
    <w:p w:rsidR="001E0E4D" w:rsidRDefault="001E0E4D">
      <w:pPr>
        <w:rPr>
          <w:b/>
          <w:bCs/>
          <w:sz w:val="40"/>
          <w:szCs w:val="40"/>
          <w:u w:val="single"/>
          <w:lang w:val="es-AR"/>
        </w:rPr>
      </w:pPr>
    </w:p>
    <w:p w:rsidR="001E0E4D" w:rsidRDefault="00FC5E8A">
      <w:r>
        <w:rPr>
          <w:b/>
          <w:bCs/>
          <w:sz w:val="32"/>
          <w:szCs w:val="32"/>
          <w:u w:val="single"/>
          <w:lang w:val="es-AR"/>
        </w:rPr>
        <w:t>Por</w:t>
      </w:r>
      <w:r>
        <w:rPr>
          <w:b/>
          <w:bCs/>
          <w:sz w:val="36"/>
          <w:szCs w:val="36"/>
          <w:u w:val="single"/>
          <w:lang w:val="es-AR"/>
        </w:rPr>
        <w:t xml:space="preserve">centaje de crecimiento de las provincias en el período enero-julio </w:t>
      </w:r>
    </w:p>
    <w:p w:rsidR="001E0E4D" w:rsidRDefault="001E0E4D">
      <w:pPr>
        <w:rPr>
          <w:b/>
          <w:bCs/>
          <w:sz w:val="36"/>
          <w:szCs w:val="36"/>
          <w:u w:val="single"/>
          <w:lang w:val="es-AR"/>
        </w:rPr>
      </w:pP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CABA: 56,80%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JUJUY: 34,94%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TIERRA DEL FUEGO: 33,90%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PCIA. BS.AS.: 33%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CHUBUT: 32,01%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LA RIOJA:</w:t>
      </w:r>
      <w:r>
        <w:rPr>
          <w:sz w:val="36"/>
          <w:szCs w:val="36"/>
          <w:lang w:val="es-AR"/>
        </w:rPr>
        <w:t xml:space="preserve"> 29,41%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SANTIAGO DEL ESTERO: 24,98%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NEUQUÉN: 24,50%</w:t>
      </w:r>
    </w:p>
    <w:p w:rsidR="001E0E4D" w:rsidRDefault="001E0E4D">
      <w:pPr>
        <w:rPr>
          <w:sz w:val="36"/>
          <w:szCs w:val="36"/>
        </w:rPr>
      </w:pPr>
    </w:p>
    <w:p w:rsidR="001E0E4D" w:rsidRDefault="001E0E4D">
      <w:pPr>
        <w:rPr>
          <w:sz w:val="36"/>
          <w:szCs w:val="36"/>
        </w:rPr>
      </w:pPr>
    </w:p>
    <w:p w:rsidR="001E0E4D" w:rsidRDefault="001E0E4D">
      <w:pPr>
        <w:rPr>
          <w:sz w:val="36"/>
          <w:szCs w:val="36"/>
        </w:rPr>
      </w:pPr>
    </w:p>
    <w:p w:rsidR="001E0E4D" w:rsidRDefault="001E0E4D">
      <w:pPr>
        <w:rPr>
          <w:sz w:val="36"/>
          <w:szCs w:val="36"/>
        </w:rPr>
      </w:pP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CHACO: 21,56%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RÍO NEGRO: 21,46%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 LUIS: 19,94%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CÓRDOBA: 18,51%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SALTA: 17,13%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SANTA CRUZ: 16,60%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MISIONES: 14,42%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SANTA FE: 13,89%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CORRIENTES: 12,95%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LA PAMPA: 12,37%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MENDOZA: 10,47%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 xml:space="preserve">ENTRE RÍOS: </w:t>
      </w:r>
      <w:r>
        <w:rPr>
          <w:sz w:val="36"/>
          <w:szCs w:val="36"/>
          <w:lang w:val="es-AR"/>
        </w:rPr>
        <w:t>9,66%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TUCUMÁN: 8,46%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 JUAN: 0,09%</w:t>
      </w:r>
    </w:p>
    <w:p w:rsidR="001E0E4D" w:rsidRDefault="001E0E4D">
      <w:pPr>
        <w:rPr>
          <w:sz w:val="36"/>
          <w:szCs w:val="36"/>
        </w:rPr>
      </w:pPr>
    </w:p>
    <w:p w:rsidR="001E0E4D" w:rsidRDefault="00FC5E8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Provincias que bajaron en el período enero-julio 2021</w:t>
      </w:r>
    </w:p>
    <w:p w:rsidR="001E0E4D" w:rsidRDefault="001E0E4D">
      <w:pPr>
        <w:rPr>
          <w:sz w:val="36"/>
          <w:szCs w:val="36"/>
        </w:rPr>
      </w:pP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</w:rPr>
        <w:t>Formosa: 8,40%</w:t>
      </w:r>
    </w:p>
    <w:p w:rsidR="001E0E4D" w:rsidRDefault="00FC5E8A">
      <w:pPr>
        <w:rPr>
          <w:sz w:val="36"/>
          <w:szCs w:val="36"/>
        </w:rPr>
      </w:pPr>
      <w:r>
        <w:rPr>
          <w:sz w:val="36"/>
          <w:szCs w:val="36"/>
        </w:rPr>
        <w:t>Catamarca: 0,06%</w:t>
      </w:r>
    </w:p>
    <w:p w:rsidR="001E0E4D" w:rsidRDefault="001E0E4D">
      <w:pPr>
        <w:rPr>
          <w:sz w:val="32"/>
          <w:szCs w:val="32"/>
          <w:u w:val="single"/>
          <w:lang w:val="es-AR"/>
        </w:rPr>
      </w:pPr>
    </w:p>
    <w:p w:rsidR="001E0E4D" w:rsidRDefault="001E0E4D">
      <w:pPr>
        <w:rPr>
          <w:bCs/>
          <w:sz w:val="40"/>
          <w:szCs w:val="40"/>
          <w:lang w:val="es-AR"/>
        </w:rPr>
      </w:pPr>
    </w:p>
    <w:p w:rsidR="001E0E4D" w:rsidRDefault="00FC5E8A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Buenos Aires, agosto 2021</w:t>
      </w:r>
    </w:p>
    <w:p w:rsidR="001E0E4D" w:rsidRDefault="001E0E4D">
      <w:pPr>
        <w:rPr>
          <w:sz w:val="40"/>
          <w:szCs w:val="40"/>
          <w:lang w:val="es-AR"/>
        </w:rPr>
      </w:pPr>
    </w:p>
    <w:p w:rsidR="001E0E4D" w:rsidRDefault="001E0E4D">
      <w:pPr>
        <w:rPr>
          <w:sz w:val="40"/>
          <w:szCs w:val="40"/>
          <w:lang w:val="es-AR"/>
        </w:rPr>
      </w:pPr>
    </w:p>
    <w:p w:rsidR="001E0E4D" w:rsidRDefault="001E0E4D">
      <w:pPr>
        <w:rPr>
          <w:sz w:val="40"/>
          <w:szCs w:val="40"/>
          <w:lang w:val="es-AR"/>
        </w:rPr>
      </w:pPr>
    </w:p>
    <w:p w:rsidR="001E0E4D" w:rsidRDefault="001E0E4D">
      <w:pPr>
        <w:rPr>
          <w:sz w:val="40"/>
          <w:szCs w:val="40"/>
          <w:lang w:val="es-AR"/>
        </w:rPr>
      </w:pPr>
    </w:p>
    <w:p w:rsidR="001E0E4D" w:rsidRDefault="001E0E4D">
      <w:pPr>
        <w:rPr>
          <w:sz w:val="40"/>
          <w:szCs w:val="40"/>
          <w:lang w:val="es-AR"/>
        </w:rPr>
      </w:pPr>
    </w:p>
    <w:sectPr w:rsidR="001E0E4D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8A" w:rsidRDefault="00FC5E8A">
      <w:r>
        <w:separator/>
      </w:r>
    </w:p>
  </w:endnote>
  <w:endnote w:type="continuationSeparator" w:id="0">
    <w:p w:rsidR="00FC5E8A" w:rsidRDefault="00F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4D" w:rsidRDefault="00FC5E8A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1E0E4D" w:rsidRDefault="00FC5E8A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8A" w:rsidRDefault="00FC5E8A">
      <w:r>
        <w:separator/>
      </w:r>
    </w:p>
  </w:footnote>
  <w:footnote w:type="continuationSeparator" w:id="0">
    <w:p w:rsidR="00FC5E8A" w:rsidRDefault="00FC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4D" w:rsidRDefault="00FC5E8A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0E4D" w:rsidRDefault="001E0E4D">
    <w:pPr>
      <w:pStyle w:val="Epgrafe"/>
    </w:pPr>
  </w:p>
  <w:p w:rsidR="001E0E4D" w:rsidRDefault="001E0E4D">
    <w:pPr>
      <w:pStyle w:val="Epgrafe"/>
    </w:pPr>
  </w:p>
  <w:p w:rsidR="001E0E4D" w:rsidRDefault="001E0E4D">
    <w:pPr>
      <w:pStyle w:val="Epgrafe"/>
    </w:pPr>
  </w:p>
  <w:p w:rsidR="001E0E4D" w:rsidRDefault="001E0E4D">
    <w:pPr>
      <w:pStyle w:val="Epgrafe"/>
    </w:pPr>
  </w:p>
  <w:p w:rsidR="001E0E4D" w:rsidRDefault="001E0E4D">
    <w:pPr>
      <w:pStyle w:val="Epgrafe"/>
    </w:pPr>
  </w:p>
  <w:p w:rsidR="001E0E4D" w:rsidRDefault="001E0E4D">
    <w:pPr>
      <w:pStyle w:val="Epgrafe"/>
    </w:pPr>
  </w:p>
  <w:p w:rsidR="001E0E4D" w:rsidRDefault="00FC5E8A">
    <w:pPr>
      <w:pStyle w:val="Epgrafe"/>
    </w:pPr>
    <w:r>
      <w:t xml:space="preserve">CAMARA DEL COMERCIO </w:t>
    </w:r>
    <w:r>
      <w:t>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715"/>
    <w:multiLevelType w:val="multilevel"/>
    <w:tmpl w:val="7C3A4D8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D"/>
    <w:rsid w:val="0017264D"/>
    <w:rsid w:val="001E0E4D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Javi Frontera</cp:lastModifiedBy>
  <cp:revision>2</cp:revision>
  <dcterms:created xsi:type="dcterms:W3CDTF">2021-08-12T18:04:00Z</dcterms:created>
  <dcterms:modified xsi:type="dcterms:W3CDTF">2021-08-12T18:04:00Z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