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F0" w:rsidRDefault="007F58F0">
      <w:pPr>
        <w:rPr>
          <w:lang w:val="es-MX"/>
        </w:rPr>
      </w:pPr>
      <w:bookmarkStart w:id="0" w:name="_GoBack"/>
      <w:bookmarkEnd w:id="0"/>
    </w:p>
    <w:p w:rsidR="007F58F0" w:rsidRDefault="007F58F0">
      <w:pPr>
        <w:rPr>
          <w:lang w:val="es-MX"/>
        </w:rPr>
      </w:pPr>
    </w:p>
    <w:p w:rsidR="007F58F0" w:rsidRDefault="000D0622">
      <w:pPr>
        <w:rPr>
          <w:b/>
          <w:bCs/>
          <w:sz w:val="52"/>
          <w:szCs w:val="52"/>
        </w:rPr>
      </w:pPr>
      <w:r>
        <w:rPr>
          <w:b/>
          <w:bCs/>
          <w:sz w:val="52"/>
          <w:szCs w:val="52"/>
        </w:rPr>
        <w:t>INFORMACION DE PRENSA</w:t>
      </w:r>
    </w:p>
    <w:p w:rsidR="007F58F0" w:rsidRDefault="007F58F0">
      <w:pPr>
        <w:rPr>
          <w:b/>
          <w:sz w:val="36"/>
          <w:szCs w:val="36"/>
        </w:rPr>
      </w:pPr>
    </w:p>
    <w:p w:rsidR="007F58F0" w:rsidRDefault="007F58F0">
      <w:pPr>
        <w:rPr>
          <w:b/>
          <w:sz w:val="36"/>
          <w:szCs w:val="36"/>
          <w:u w:val="single"/>
        </w:rPr>
      </w:pPr>
    </w:p>
    <w:p w:rsidR="007F58F0" w:rsidRDefault="000D0622">
      <w:r>
        <w:rPr>
          <w:b/>
          <w:sz w:val="36"/>
          <w:szCs w:val="36"/>
          <w:u w:val="single"/>
        </w:rPr>
        <w:t xml:space="preserve">EN MAYO SE VENDIERON 97.226 VEHÍCULOS USADOS  </w:t>
      </w:r>
    </w:p>
    <w:p w:rsidR="007F58F0" w:rsidRDefault="007F58F0">
      <w:pPr>
        <w:rPr>
          <w:b/>
          <w:sz w:val="36"/>
          <w:szCs w:val="36"/>
          <w:u w:val="single"/>
        </w:rPr>
      </w:pPr>
    </w:p>
    <w:p w:rsidR="007F58F0" w:rsidRDefault="007F58F0">
      <w:pPr>
        <w:rPr>
          <w:b/>
          <w:sz w:val="36"/>
          <w:szCs w:val="36"/>
          <w:u w:val="single"/>
        </w:rPr>
      </w:pPr>
    </w:p>
    <w:p w:rsidR="007F58F0" w:rsidRDefault="000D0622">
      <w:pPr>
        <w:rPr>
          <w:b/>
          <w:sz w:val="36"/>
          <w:szCs w:val="36"/>
          <w:u w:val="single"/>
        </w:rPr>
      </w:pPr>
      <w:r>
        <w:rPr>
          <w:b/>
          <w:sz w:val="36"/>
          <w:szCs w:val="36"/>
          <w:u w:val="single"/>
        </w:rPr>
        <w:t>EN EL PERÍODO ENERO-MAYO SE COMERCIALIZARON 640.208 UNIDADES</w:t>
      </w:r>
    </w:p>
    <w:p w:rsidR="007F58F0" w:rsidRDefault="007F58F0">
      <w:pPr>
        <w:rPr>
          <w:b/>
          <w:sz w:val="36"/>
          <w:szCs w:val="36"/>
          <w:u w:val="single"/>
        </w:rPr>
      </w:pPr>
    </w:p>
    <w:p w:rsidR="007F58F0" w:rsidRDefault="007F58F0">
      <w:pPr>
        <w:rPr>
          <w:sz w:val="36"/>
          <w:szCs w:val="36"/>
        </w:rPr>
      </w:pPr>
    </w:p>
    <w:p w:rsidR="007F58F0" w:rsidRDefault="000D0622">
      <w:r>
        <w:rPr>
          <w:sz w:val="36"/>
          <w:szCs w:val="36"/>
        </w:rPr>
        <w:t xml:space="preserve">La Cámara del Comercio Automotor (CCA) informó que en el mes de mayo se comercializó en Argentina 97.226 </w:t>
      </w:r>
      <w:r>
        <w:rPr>
          <w:sz w:val="36"/>
          <w:szCs w:val="36"/>
        </w:rPr>
        <w:t xml:space="preserve">vehículos usados, una suba del 25,01% comparado con igual mes de 2020 cuando se vendieron 77.774 unidades. </w:t>
      </w:r>
    </w:p>
    <w:p w:rsidR="007F58F0" w:rsidRDefault="007F58F0">
      <w:pPr>
        <w:rPr>
          <w:sz w:val="36"/>
          <w:szCs w:val="36"/>
        </w:rPr>
      </w:pPr>
    </w:p>
    <w:p w:rsidR="007F58F0" w:rsidRDefault="000D0622">
      <w:r>
        <w:rPr>
          <w:sz w:val="36"/>
          <w:szCs w:val="36"/>
        </w:rPr>
        <w:t>Si lo comparamos con el mes de abril de 2021 (128.481 unidades)  la caída llega al 24,33%.</w:t>
      </w:r>
    </w:p>
    <w:p w:rsidR="007F58F0" w:rsidRDefault="007F58F0"/>
    <w:p w:rsidR="007F58F0" w:rsidRDefault="000D0622">
      <w:pPr>
        <w:rPr>
          <w:sz w:val="36"/>
          <w:szCs w:val="36"/>
        </w:rPr>
      </w:pPr>
      <w:r>
        <w:rPr>
          <w:sz w:val="36"/>
          <w:szCs w:val="36"/>
        </w:rPr>
        <w:t>En los primeros cinco meses del año se vendieron 640.20</w:t>
      </w:r>
      <w:r>
        <w:rPr>
          <w:sz w:val="36"/>
          <w:szCs w:val="36"/>
        </w:rPr>
        <w:t>8 autos usados, una suba del 36,54% con respecto a igual período de 2020 cuando se comercializaron 468.874 unidades.</w:t>
      </w:r>
    </w:p>
    <w:p w:rsidR="007F58F0" w:rsidRDefault="007F58F0">
      <w:pPr>
        <w:rPr>
          <w:sz w:val="36"/>
          <w:szCs w:val="36"/>
        </w:rPr>
      </w:pPr>
    </w:p>
    <w:p w:rsidR="007F58F0" w:rsidRDefault="007F58F0">
      <w:pPr>
        <w:rPr>
          <w:sz w:val="36"/>
          <w:szCs w:val="36"/>
        </w:rPr>
      </w:pPr>
    </w:p>
    <w:p w:rsidR="007F58F0" w:rsidRDefault="007F58F0">
      <w:pPr>
        <w:rPr>
          <w:b/>
          <w:sz w:val="36"/>
          <w:szCs w:val="36"/>
          <w:u w:val="single"/>
        </w:rPr>
      </w:pPr>
    </w:p>
    <w:p w:rsidR="007F58F0" w:rsidRDefault="007F58F0">
      <w:pPr>
        <w:rPr>
          <w:b/>
          <w:sz w:val="36"/>
          <w:szCs w:val="36"/>
          <w:u w:val="single"/>
        </w:rPr>
      </w:pPr>
    </w:p>
    <w:p w:rsidR="007F58F0" w:rsidRDefault="000D0622">
      <w:pPr>
        <w:rPr>
          <w:b/>
          <w:sz w:val="36"/>
          <w:szCs w:val="36"/>
          <w:u w:val="single"/>
        </w:rPr>
      </w:pPr>
      <w:r>
        <w:rPr>
          <w:b/>
          <w:sz w:val="36"/>
          <w:szCs w:val="36"/>
          <w:u w:val="single"/>
        </w:rPr>
        <w:t xml:space="preserve">DECLARACIONES DE ALEJANDRO LAMAS, SECRETARIO DE LA CÁMARA DEL COMERCIO AUTOMOTOR (CCA)  </w:t>
      </w:r>
    </w:p>
    <w:p w:rsidR="007F58F0" w:rsidRDefault="007F58F0">
      <w:pPr>
        <w:rPr>
          <w:b/>
          <w:sz w:val="36"/>
          <w:szCs w:val="36"/>
          <w:u w:val="single"/>
        </w:rPr>
      </w:pPr>
    </w:p>
    <w:p w:rsidR="007F58F0" w:rsidRDefault="007F58F0">
      <w:pPr>
        <w:rPr>
          <w:sz w:val="36"/>
          <w:szCs w:val="36"/>
        </w:rPr>
      </w:pPr>
    </w:p>
    <w:p w:rsidR="007F58F0" w:rsidRDefault="000D0622">
      <w:pPr>
        <w:rPr>
          <w:sz w:val="36"/>
          <w:szCs w:val="36"/>
        </w:rPr>
      </w:pPr>
      <w:r>
        <w:rPr>
          <w:sz w:val="36"/>
          <w:szCs w:val="36"/>
        </w:rPr>
        <w:t>“Mayo fue el peor mes en ventas desde el año</w:t>
      </w:r>
      <w:r>
        <w:rPr>
          <w:sz w:val="36"/>
          <w:szCs w:val="36"/>
        </w:rPr>
        <w:t xml:space="preserve"> 2005 (88.210 unidades), dejando de lado el 2020 mes de la pandemia. Venimos de meses con fuertes altibajos en la comercialización de vehículos usados, dentro de un complejo contexto económico”, mencionó Lamas.</w:t>
      </w:r>
    </w:p>
    <w:p w:rsidR="007F58F0" w:rsidRDefault="007F58F0">
      <w:pPr>
        <w:rPr>
          <w:sz w:val="36"/>
          <w:szCs w:val="36"/>
        </w:rPr>
      </w:pPr>
    </w:p>
    <w:p w:rsidR="007F58F0" w:rsidRDefault="000D0622">
      <w:pPr>
        <w:rPr>
          <w:sz w:val="36"/>
          <w:szCs w:val="36"/>
        </w:rPr>
      </w:pPr>
      <w:r>
        <w:rPr>
          <w:sz w:val="36"/>
          <w:szCs w:val="36"/>
        </w:rPr>
        <w:t>“Hasta abril la demanda se mantenía pese a q</w:t>
      </w:r>
      <w:r>
        <w:rPr>
          <w:sz w:val="36"/>
          <w:szCs w:val="36"/>
        </w:rPr>
        <w:t>ue los precios no habían encontrado un techo. Pero a partir de mayo el mercado se mostró sumamente inestable. Notamos a la gente muy cauta, pese a que los precios de los autos usados empezaron a normalizarse y las terminales inundaron el mercado con bonifi</w:t>
      </w:r>
      <w:r>
        <w:rPr>
          <w:sz w:val="36"/>
          <w:szCs w:val="36"/>
        </w:rPr>
        <w:t xml:space="preserve">caciones importantes en sus vehículos”, explicó. </w:t>
      </w:r>
    </w:p>
    <w:p w:rsidR="007F58F0" w:rsidRDefault="007F58F0">
      <w:pPr>
        <w:rPr>
          <w:sz w:val="36"/>
          <w:szCs w:val="36"/>
        </w:rPr>
      </w:pPr>
    </w:p>
    <w:p w:rsidR="007F58F0" w:rsidRDefault="000D0622">
      <w:pPr>
        <w:rPr>
          <w:sz w:val="36"/>
          <w:szCs w:val="36"/>
        </w:rPr>
      </w:pPr>
      <w:r>
        <w:rPr>
          <w:sz w:val="36"/>
          <w:szCs w:val="36"/>
        </w:rPr>
        <w:t>“El público dejo de frecuentar los salones de venta y mermaron considerablemente los llamados telefónicos y las consultas por las diferentes plataformas. La demanda se convirtió en oferta pero la gente pre</w:t>
      </w:r>
      <w:r>
        <w:rPr>
          <w:sz w:val="36"/>
          <w:szCs w:val="36"/>
        </w:rPr>
        <w:t xml:space="preserve">firió parar las compras hasta que aclare. Dicho </w:t>
      </w:r>
      <w:proofErr w:type="gramStart"/>
      <w:r>
        <w:rPr>
          <w:sz w:val="36"/>
          <w:szCs w:val="36"/>
        </w:rPr>
        <w:t>de</w:t>
      </w:r>
      <w:proofErr w:type="gramEnd"/>
      <w:r>
        <w:rPr>
          <w:sz w:val="36"/>
          <w:szCs w:val="36"/>
        </w:rPr>
        <w:t xml:space="preserve"> otra manera, la gente dejo de pensar en el auto y preocuparse por su situación económica”, dijo el secretario. </w:t>
      </w:r>
    </w:p>
    <w:p w:rsidR="007F58F0" w:rsidRDefault="007F58F0">
      <w:pPr>
        <w:rPr>
          <w:sz w:val="36"/>
          <w:szCs w:val="36"/>
        </w:rPr>
      </w:pPr>
    </w:p>
    <w:p w:rsidR="007F58F0" w:rsidRDefault="007F58F0">
      <w:pPr>
        <w:rPr>
          <w:sz w:val="36"/>
          <w:szCs w:val="36"/>
        </w:rPr>
      </w:pPr>
    </w:p>
    <w:p w:rsidR="007F58F0" w:rsidRDefault="000D0622">
      <w:pPr>
        <w:rPr>
          <w:sz w:val="36"/>
          <w:szCs w:val="36"/>
        </w:rPr>
      </w:pPr>
      <w:r>
        <w:rPr>
          <w:sz w:val="36"/>
          <w:szCs w:val="36"/>
        </w:rPr>
        <w:t>“</w:t>
      </w:r>
      <w:r>
        <w:rPr>
          <w:sz w:val="36"/>
          <w:szCs w:val="36"/>
        </w:rPr>
        <w:t>En un relevamiento realizado por nuestra institución a nivel país, nos encontramos con la misma problemática en la mayoría de las provincias. En la última semana de mayo los Registros Registrales no funcionaron debido al DNU del gobierno nacional, por ende</w:t>
      </w:r>
      <w:r>
        <w:rPr>
          <w:sz w:val="36"/>
          <w:szCs w:val="36"/>
        </w:rPr>
        <w:t xml:space="preserve"> no se pudieron patentar vehículos 0km ni realizar transferencias de </w:t>
      </w:r>
      <w:r>
        <w:rPr>
          <w:sz w:val="36"/>
          <w:szCs w:val="36"/>
        </w:rPr>
        <w:t>usados. Pese a esto, la incidencia final en el volumen de ventas del mes no se hubiese modificado mucho. Esperamos que los próximos meses se muestren más estables, en la medida que la eco</w:t>
      </w:r>
      <w:r>
        <w:rPr>
          <w:sz w:val="36"/>
          <w:szCs w:val="36"/>
        </w:rPr>
        <w:t xml:space="preserve">nomía mejore y la gente vuelva a pensar en comprar un automóvil”, expresó Alejandro Lamas. </w:t>
      </w:r>
    </w:p>
    <w:p w:rsidR="007F58F0" w:rsidRDefault="007F58F0"/>
    <w:p w:rsidR="007F58F0" w:rsidRDefault="007F58F0">
      <w:pPr>
        <w:rPr>
          <w:sz w:val="40"/>
          <w:szCs w:val="40"/>
        </w:rPr>
      </w:pPr>
    </w:p>
    <w:p w:rsidR="007F58F0" w:rsidRDefault="000D0622">
      <w:pPr>
        <w:rPr>
          <w:sz w:val="36"/>
          <w:szCs w:val="36"/>
        </w:rPr>
      </w:pPr>
      <w:r>
        <w:rPr>
          <w:b/>
          <w:bCs/>
          <w:sz w:val="36"/>
          <w:szCs w:val="36"/>
          <w:u w:val="single"/>
        </w:rPr>
        <w:t>Ranking 10 usados más vendidos en Argentina durante mayo 2021</w:t>
      </w:r>
    </w:p>
    <w:p w:rsidR="007F58F0" w:rsidRDefault="007F58F0">
      <w:pPr>
        <w:rPr>
          <w:b/>
          <w:bCs/>
          <w:sz w:val="36"/>
          <w:szCs w:val="36"/>
          <w:lang w:val="es-AR"/>
        </w:rPr>
      </w:pPr>
    </w:p>
    <w:p w:rsidR="007F58F0" w:rsidRDefault="000D0622">
      <w:pPr>
        <w:rPr>
          <w:sz w:val="36"/>
          <w:szCs w:val="36"/>
        </w:rPr>
      </w:pPr>
      <w:r>
        <w:rPr>
          <w:sz w:val="36"/>
          <w:szCs w:val="36"/>
          <w:lang w:val="en-US"/>
        </w:rPr>
        <w:t xml:space="preserve">1-VW </w:t>
      </w:r>
      <w:proofErr w:type="spellStart"/>
      <w:r>
        <w:rPr>
          <w:sz w:val="36"/>
          <w:szCs w:val="36"/>
          <w:lang w:val="en-US"/>
        </w:rPr>
        <w:t>Gol</w:t>
      </w:r>
      <w:proofErr w:type="spellEnd"/>
      <w:r>
        <w:rPr>
          <w:sz w:val="36"/>
          <w:szCs w:val="36"/>
          <w:lang w:val="en-US"/>
        </w:rPr>
        <w:t xml:space="preserve"> y Trend: 5.643</w:t>
      </w:r>
    </w:p>
    <w:p w:rsidR="007F58F0" w:rsidRDefault="000D0622">
      <w:pPr>
        <w:rPr>
          <w:sz w:val="36"/>
          <w:szCs w:val="36"/>
        </w:rPr>
      </w:pPr>
      <w:proofErr w:type="gramStart"/>
      <w:r>
        <w:rPr>
          <w:sz w:val="36"/>
          <w:szCs w:val="36"/>
          <w:lang w:val="en-US"/>
        </w:rPr>
        <w:t>2-Chev.</w:t>
      </w:r>
      <w:proofErr w:type="gramEnd"/>
      <w:r>
        <w:rPr>
          <w:sz w:val="36"/>
          <w:szCs w:val="36"/>
          <w:lang w:val="en-US"/>
        </w:rPr>
        <w:t xml:space="preserve"> </w:t>
      </w:r>
      <w:r>
        <w:rPr>
          <w:sz w:val="36"/>
          <w:szCs w:val="36"/>
          <w:lang w:val="es-AR"/>
        </w:rPr>
        <w:t xml:space="preserve">Corsa y </w:t>
      </w:r>
      <w:proofErr w:type="spellStart"/>
      <w:r>
        <w:rPr>
          <w:sz w:val="36"/>
          <w:szCs w:val="36"/>
          <w:lang w:val="es-AR"/>
        </w:rPr>
        <w:t>Classic</w:t>
      </w:r>
      <w:proofErr w:type="spellEnd"/>
      <w:r>
        <w:rPr>
          <w:sz w:val="36"/>
          <w:szCs w:val="36"/>
          <w:lang w:val="es-AR"/>
        </w:rPr>
        <w:t>: 3.253</w:t>
      </w:r>
    </w:p>
    <w:p w:rsidR="007F58F0" w:rsidRDefault="000D0622">
      <w:pPr>
        <w:rPr>
          <w:sz w:val="36"/>
          <w:szCs w:val="36"/>
        </w:rPr>
      </w:pPr>
      <w:r>
        <w:rPr>
          <w:sz w:val="36"/>
          <w:szCs w:val="36"/>
          <w:lang w:val="es-AR"/>
        </w:rPr>
        <w:t xml:space="preserve">3-Toyota </w:t>
      </w:r>
      <w:proofErr w:type="spellStart"/>
      <w:r>
        <w:rPr>
          <w:sz w:val="36"/>
          <w:szCs w:val="36"/>
          <w:lang w:val="es-AR"/>
        </w:rPr>
        <w:t>Hilux</w:t>
      </w:r>
      <w:proofErr w:type="spellEnd"/>
      <w:r>
        <w:rPr>
          <w:sz w:val="36"/>
          <w:szCs w:val="36"/>
          <w:lang w:val="es-AR"/>
        </w:rPr>
        <w:t>: 2.733</w:t>
      </w:r>
    </w:p>
    <w:p w:rsidR="007F58F0" w:rsidRDefault="000D0622">
      <w:pPr>
        <w:rPr>
          <w:sz w:val="36"/>
          <w:szCs w:val="36"/>
        </w:rPr>
      </w:pPr>
      <w:r>
        <w:rPr>
          <w:sz w:val="36"/>
          <w:szCs w:val="36"/>
          <w:lang w:val="en-US"/>
        </w:rPr>
        <w:t>4-Renault Clio: 2.331</w:t>
      </w:r>
    </w:p>
    <w:p w:rsidR="007F58F0" w:rsidRDefault="000D0622">
      <w:pPr>
        <w:rPr>
          <w:sz w:val="36"/>
          <w:szCs w:val="36"/>
        </w:rPr>
      </w:pPr>
      <w:r>
        <w:rPr>
          <w:sz w:val="36"/>
          <w:szCs w:val="36"/>
          <w:lang w:val="en-US"/>
        </w:rPr>
        <w:t>5-Ford Fiesta: 2.110</w:t>
      </w:r>
    </w:p>
    <w:p w:rsidR="007F58F0" w:rsidRDefault="000D0622">
      <w:pPr>
        <w:rPr>
          <w:sz w:val="36"/>
          <w:szCs w:val="36"/>
        </w:rPr>
      </w:pPr>
      <w:r>
        <w:rPr>
          <w:sz w:val="36"/>
          <w:szCs w:val="36"/>
          <w:lang w:val="en-US"/>
        </w:rPr>
        <w:t xml:space="preserve">6-Fiat </w:t>
      </w:r>
      <w:proofErr w:type="spellStart"/>
      <w:r>
        <w:rPr>
          <w:sz w:val="36"/>
          <w:szCs w:val="36"/>
          <w:lang w:val="en-US"/>
        </w:rPr>
        <w:t>Palio</w:t>
      </w:r>
      <w:proofErr w:type="spellEnd"/>
      <w:r>
        <w:rPr>
          <w:sz w:val="36"/>
          <w:szCs w:val="36"/>
          <w:lang w:val="en-US"/>
        </w:rPr>
        <w:t>: 1.964</w:t>
      </w:r>
    </w:p>
    <w:p w:rsidR="007F58F0" w:rsidRDefault="000D0622">
      <w:pPr>
        <w:rPr>
          <w:sz w:val="36"/>
          <w:szCs w:val="36"/>
        </w:rPr>
      </w:pPr>
      <w:r>
        <w:rPr>
          <w:sz w:val="36"/>
          <w:szCs w:val="36"/>
          <w:lang w:val="en-US"/>
        </w:rPr>
        <w:t>7-Ford Ranger: 1.808</w:t>
      </w:r>
    </w:p>
    <w:p w:rsidR="007F58F0" w:rsidRDefault="000D0622">
      <w:pPr>
        <w:rPr>
          <w:sz w:val="36"/>
          <w:szCs w:val="36"/>
        </w:rPr>
      </w:pPr>
      <w:r>
        <w:rPr>
          <w:sz w:val="36"/>
          <w:szCs w:val="36"/>
          <w:lang w:val="en-US"/>
        </w:rPr>
        <w:t xml:space="preserve">8-Ford </w:t>
      </w:r>
      <w:proofErr w:type="spellStart"/>
      <w:r>
        <w:rPr>
          <w:sz w:val="36"/>
          <w:szCs w:val="36"/>
          <w:lang w:val="en-US"/>
        </w:rPr>
        <w:t>Ka</w:t>
      </w:r>
      <w:proofErr w:type="spellEnd"/>
      <w:r>
        <w:rPr>
          <w:sz w:val="36"/>
          <w:szCs w:val="36"/>
          <w:lang w:val="en-US"/>
        </w:rPr>
        <w:t>: 1.784</w:t>
      </w:r>
    </w:p>
    <w:p w:rsidR="007F58F0" w:rsidRDefault="000D0622">
      <w:pPr>
        <w:rPr>
          <w:sz w:val="36"/>
          <w:szCs w:val="36"/>
        </w:rPr>
      </w:pPr>
      <w:r>
        <w:rPr>
          <w:sz w:val="36"/>
          <w:szCs w:val="36"/>
          <w:lang w:val="es-AR"/>
        </w:rPr>
        <w:t xml:space="preserve">9-Ford </w:t>
      </w:r>
      <w:proofErr w:type="spellStart"/>
      <w:r>
        <w:rPr>
          <w:sz w:val="36"/>
          <w:szCs w:val="36"/>
          <w:lang w:val="es-AR"/>
        </w:rPr>
        <w:t>EcoSport</w:t>
      </w:r>
      <w:proofErr w:type="spellEnd"/>
      <w:r>
        <w:rPr>
          <w:sz w:val="36"/>
          <w:szCs w:val="36"/>
          <w:lang w:val="es-AR"/>
        </w:rPr>
        <w:t>: 1.783</w:t>
      </w:r>
    </w:p>
    <w:p w:rsidR="007F58F0" w:rsidRDefault="000D0622">
      <w:pPr>
        <w:rPr>
          <w:sz w:val="36"/>
          <w:szCs w:val="36"/>
        </w:rPr>
      </w:pPr>
      <w:r>
        <w:rPr>
          <w:sz w:val="36"/>
          <w:szCs w:val="36"/>
          <w:lang w:val="es-AR"/>
        </w:rPr>
        <w:t xml:space="preserve">10-Ford </w:t>
      </w:r>
      <w:proofErr w:type="spellStart"/>
      <w:r>
        <w:rPr>
          <w:sz w:val="36"/>
          <w:szCs w:val="36"/>
          <w:lang w:val="es-AR"/>
        </w:rPr>
        <w:t>Focus</w:t>
      </w:r>
      <w:proofErr w:type="spellEnd"/>
      <w:r>
        <w:rPr>
          <w:sz w:val="36"/>
          <w:szCs w:val="36"/>
          <w:lang w:val="es-AR"/>
        </w:rPr>
        <w:t>: 1.668</w:t>
      </w:r>
    </w:p>
    <w:p w:rsidR="007F58F0" w:rsidRDefault="007F58F0">
      <w:pPr>
        <w:rPr>
          <w:b/>
          <w:bCs/>
          <w:sz w:val="40"/>
          <w:szCs w:val="40"/>
          <w:u w:val="single"/>
          <w:lang w:val="es-AR"/>
        </w:rPr>
      </w:pPr>
    </w:p>
    <w:p w:rsidR="007F58F0" w:rsidRDefault="000D0622">
      <w:r>
        <w:rPr>
          <w:b/>
          <w:bCs/>
          <w:sz w:val="36"/>
          <w:szCs w:val="36"/>
          <w:u w:val="single"/>
          <w:lang w:val="es-AR"/>
        </w:rPr>
        <w:t xml:space="preserve">Porcentaje de crecimiento de las provincias en el período enero-mayo </w:t>
      </w:r>
    </w:p>
    <w:p w:rsidR="007F58F0" w:rsidRDefault="007F58F0">
      <w:pPr>
        <w:rPr>
          <w:b/>
          <w:bCs/>
          <w:sz w:val="40"/>
          <w:szCs w:val="40"/>
          <w:u w:val="single"/>
          <w:lang w:val="es-AR"/>
        </w:rPr>
      </w:pPr>
    </w:p>
    <w:p w:rsidR="007F58F0" w:rsidRDefault="000D0622">
      <w:pPr>
        <w:rPr>
          <w:sz w:val="36"/>
          <w:szCs w:val="36"/>
        </w:rPr>
      </w:pPr>
      <w:r>
        <w:rPr>
          <w:sz w:val="36"/>
          <w:szCs w:val="36"/>
        </w:rPr>
        <w:t>CABA: 58,79%</w:t>
      </w:r>
    </w:p>
    <w:p w:rsidR="007F58F0" w:rsidRDefault="000D0622">
      <w:pPr>
        <w:rPr>
          <w:sz w:val="36"/>
          <w:szCs w:val="36"/>
        </w:rPr>
      </w:pPr>
      <w:r>
        <w:rPr>
          <w:sz w:val="36"/>
          <w:szCs w:val="36"/>
        </w:rPr>
        <w:t>Tierra del Fuego: 49,47%</w:t>
      </w:r>
    </w:p>
    <w:p w:rsidR="007F58F0" w:rsidRDefault="000D0622">
      <w:pPr>
        <w:rPr>
          <w:sz w:val="36"/>
          <w:szCs w:val="36"/>
        </w:rPr>
      </w:pPr>
      <w:r>
        <w:rPr>
          <w:sz w:val="36"/>
          <w:szCs w:val="36"/>
        </w:rPr>
        <w:t xml:space="preserve">Santiago del Estero: </w:t>
      </w:r>
      <w:r>
        <w:rPr>
          <w:sz w:val="36"/>
          <w:szCs w:val="36"/>
        </w:rPr>
        <w:t>47,88%</w:t>
      </w:r>
    </w:p>
    <w:p w:rsidR="007F58F0" w:rsidRDefault="000D0622">
      <w:pPr>
        <w:rPr>
          <w:sz w:val="36"/>
          <w:szCs w:val="36"/>
        </w:rPr>
      </w:pPr>
      <w:r>
        <w:rPr>
          <w:sz w:val="36"/>
          <w:szCs w:val="36"/>
        </w:rPr>
        <w:t>La Rioja: 46,57%</w:t>
      </w:r>
    </w:p>
    <w:p w:rsidR="007F58F0" w:rsidRDefault="000D0622">
      <w:pPr>
        <w:rPr>
          <w:sz w:val="36"/>
          <w:szCs w:val="36"/>
        </w:rPr>
      </w:pPr>
      <w:r>
        <w:rPr>
          <w:sz w:val="36"/>
          <w:szCs w:val="36"/>
        </w:rPr>
        <w:t>Chubut: 41,32%</w:t>
      </w:r>
    </w:p>
    <w:p w:rsidR="007F58F0" w:rsidRDefault="000D0622">
      <w:pPr>
        <w:rPr>
          <w:sz w:val="36"/>
          <w:szCs w:val="36"/>
        </w:rPr>
      </w:pPr>
      <w:proofErr w:type="spellStart"/>
      <w:r>
        <w:rPr>
          <w:sz w:val="36"/>
          <w:szCs w:val="36"/>
        </w:rPr>
        <w:t>Pcia</w:t>
      </w:r>
      <w:proofErr w:type="spellEnd"/>
      <w:r>
        <w:rPr>
          <w:sz w:val="36"/>
          <w:szCs w:val="36"/>
        </w:rPr>
        <w:t>. Buenos Aires: 40,49%</w:t>
      </w:r>
    </w:p>
    <w:p w:rsidR="007F58F0" w:rsidRDefault="000D0622">
      <w:pPr>
        <w:rPr>
          <w:sz w:val="36"/>
          <w:szCs w:val="36"/>
        </w:rPr>
      </w:pPr>
      <w:r>
        <w:rPr>
          <w:sz w:val="36"/>
          <w:szCs w:val="36"/>
        </w:rPr>
        <w:t>Córdoba: 35,57%</w:t>
      </w:r>
    </w:p>
    <w:p w:rsidR="007F58F0" w:rsidRDefault="000D0622">
      <w:pPr>
        <w:rPr>
          <w:sz w:val="36"/>
          <w:szCs w:val="36"/>
        </w:rPr>
      </w:pPr>
      <w:r>
        <w:rPr>
          <w:sz w:val="36"/>
          <w:szCs w:val="36"/>
        </w:rPr>
        <w:t>San Luis: 35,47%</w:t>
      </w:r>
    </w:p>
    <w:p w:rsidR="007F58F0" w:rsidRDefault="000D0622">
      <w:pPr>
        <w:rPr>
          <w:sz w:val="36"/>
          <w:szCs w:val="36"/>
        </w:rPr>
      </w:pPr>
      <w:r>
        <w:rPr>
          <w:sz w:val="36"/>
          <w:szCs w:val="36"/>
        </w:rPr>
        <w:t>La Pampa: 33,41%</w:t>
      </w:r>
    </w:p>
    <w:p w:rsidR="007F58F0" w:rsidRDefault="000D0622">
      <w:pPr>
        <w:rPr>
          <w:sz w:val="36"/>
          <w:szCs w:val="36"/>
        </w:rPr>
      </w:pPr>
      <w:r>
        <w:rPr>
          <w:sz w:val="36"/>
          <w:szCs w:val="36"/>
        </w:rPr>
        <w:t>Santa Fe: 32,26%</w:t>
      </w:r>
    </w:p>
    <w:p w:rsidR="007F58F0" w:rsidRDefault="000D0622">
      <w:pPr>
        <w:rPr>
          <w:sz w:val="36"/>
          <w:szCs w:val="36"/>
        </w:rPr>
      </w:pPr>
      <w:r>
        <w:rPr>
          <w:sz w:val="36"/>
          <w:szCs w:val="36"/>
        </w:rPr>
        <w:t>Misiones: 31,95%</w:t>
      </w:r>
    </w:p>
    <w:p w:rsidR="007F58F0" w:rsidRDefault="000D0622">
      <w:pPr>
        <w:rPr>
          <w:sz w:val="36"/>
          <w:szCs w:val="36"/>
        </w:rPr>
      </w:pPr>
      <w:r>
        <w:rPr>
          <w:sz w:val="36"/>
          <w:szCs w:val="36"/>
        </w:rPr>
        <w:t>Río Negro: 31,29%</w:t>
      </w:r>
    </w:p>
    <w:p w:rsidR="007F58F0" w:rsidRDefault="000D0622">
      <w:pPr>
        <w:rPr>
          <w:sz w:val="36"/>
          <w:szCs w:val="36"/>
        </w:rPr>
      </w:pPr>
      <w:r>
        <w:rPr>
          <w:sz w:val="36"/>
          <w:szCs w:val="36"/>
        </w:rPr>
        <w:t>Salta: 30,22%</w:t>
      </w:r>
    </w:p>
    <w:p w:rsidR="007F58F0" w:rsidRDefault="000D0622">
      <w:pPr>
        <w:rPr>
          <w:sz w:val="36"/>
          <w:szCs w:val="36"/>
        </w:rPr>
      </w:pPr>
      <w:r>
        <w:rPr>
          <w:sz w:val="36"/>
          <w:szCs w:val="36"/>
        </w:rPr>
        <w:t>Chaco: 30,09%</w:t>
      </w:r>
    </w:p>
    <w:p w:rsidR="007F58F0" w:rsidRDefault="000D0622">
      <w:pPr>
        <w:rPr>
          <w:sz w:val="36"/>
          <w:szCs w:val="36"/>
        </w:rPr>
      </w:pPr>
      <w:r>
        <w:rPr>
          <w:sz w:val="36"/>
          <w:szCs w:val="36"/>
        </w:rPr>
        <w:t>Tucumán: 27,99%</w:t>
      </w:r>
    </w:p>
    <w:p w:rsidR="007F58F0" w:rsidRDefault="000D0622">
      <w:pPr>
        <w:rPr>
          <w:sz w:val="36"/>
          <w:szCs w:val="36"/>
        </w:rPr>
      </w:pPr>
      <w:r>
        <w:rPr>
          <w:sz w:val="36"/>
          <w:szCs w:val="36"/>
        </w:rPr>
        <w:t>Neuquén: 27,56%</w:t>
      </w:r>
    </w:p>
    <w:p w:rsidR="007F58F0" w:rsidRDefault="000D0622">
      <w:pPr>
        <w:rPr>
          <w:sz w:val="36"/>
          <w:szCs w:val="36"/>
        </w:rPr>
      </w:pPr>
      <w:r>
        <w:rPr>
          <w:sz w:val="36"/>
          <w:szCs w:val="36"/>
        </w:rPr>
        <w:t>Jujuy: 26,15%</w:t>
      </w:r>
    </w:p>
    <w:p w:rsidR="007F58F0" w:rsidRDefault="000D0622">
      <w:pPr>
        <w:rPr>
          <w:sz w:val="36"/>
          <w:szCs w:val="36"/>
        </w:rPr>
      </w:pPr>
      <w:r>
        <w:rPr>
          <w:sz w:val="36"/>
          <w:szCs w:val="36"/>
        </w:rPr>
        <w:t xml:space="preserve">Entre Ríos: </w:t>
      </w:r>
      <w:r>
        <w:rPr>
          <w:sz w:val="36"/>
          <w:szCs w:val="36"/>
        </w:rPr>
        <w:t>26,03%</w:t>
      </w:r>
    </w:p>
    <w:p w:rsidR="007F58F0" w:rsidRDefault="000D0622">
      <w:pPr>
        <w:rPr>
          <w:sz w:val="36"/>
          <w:szCs w:val="36"/>
        </w:rPr>
      </w:pPr>
      <w:r>
        <w:rPr>
          <w:sz w:val="36"/>
          <w:szCs w:val="36"/>
        </w:rPr>
        <w:t>Mendoza: 24,29%</w:t>
      </w:r>
    </w:p>
    <w:p w:rsidR="007F58F0" w:rsidRDefault="000D0622">
      <w:pPr>
        <w:rPr>
          <w:sz w:val="36"/>
          <w:szCs w:val="36"/>
        </w:rPr>
      </w:pPr>
      <w:r>
        <w:rPr>
          <w:sz w:val="36"/>
          <w:szCs w:val="36"/>
        </w:rPr>
        <w:t>Corrientes: 22,14%</w:t>
      </w:r>
    </w:p>
    <w:p w:rsidR="007F58F0" w:rsidRDefault="000D0622">
      <w:pPr>
        <w:rPr>
          <w:sz w:val="36"/>
          <w:szCs w:val="36"/>
        </w:rPr>
      </w:pPr>
      <w:r>
        <w:rPr>
          <w:sz w:val="36"/>
          <w:szCs w:val="36"/>
        </w:rPr>
        <w:t>San Juan: 16,29%</w:t>
      </w:r>
    </w:p>
    <w:p w:rsidR="007F58F0" w:rsidRDefault="007F58F0">
      <w:pPr>
        <w:rPr>
          <w:sz w:val="36"/>
          <w:szCs w:val="36"/>
        </w:rPr>
      </w:pPr>
    </w:p>
    <w:p w:rsidR="007F58F0" w:rsidRDefault="007F58F0">
      <w:pPr>
        <w:rPr>
          <w:sz w:val="36"/>
          <w:szCs w:val="36"/>
        </w:rPr>
      </w:pPr>
    </w:p>
    <w:p w:rsidR="007F58F0" w:rsidRDefault="000D0622">
      <w:pPr>
        <w:rPr>
          <w:sz w:val="36"/>
          <w:szCs w:val="36"/>
        </w:rPr>
      </w:pPr>
      <w:r>
        <w:rPr>
          <w:sz w:val="36"/>
          <w:szCs w:val="36"/>
        </w:rPr>
        <w:t>//////</w:t>
      </w:r>
    </w:p>
    <w:p w:rsidR="007F58F0" w:rsidRDefault="007F58F0">
      <w:pPr>
        <w:rPr>
          <w:sz w:val="36"/>
          <w:szCs w:val="36"/>
        </w:rPr>
      </w:pPr>
    </w:p>
    <w:p w:rsidR="007F58F0" w:rsidRDefault="000D0622">
      <w:pPr>
        <w:rPr>
          <w:sz w:val="36"/>
          <w:szCs w:val="36"/>
        </w:rPr>
      </w:pPr>
      <w:r>
        <w:rPr>
          <w:sz w:val="36"/>
          <w:szCs w:val="36"/>
        </w:rPr>
        <w:t>Santa Cruz: 15,58%</w:t>
      </w:r>
    </w:p>
    <w:p w:rsidR="007F58F0" w:rsidRDefault="000D0622">
      <w:pPr>
        <w:rPr>
          <w:sz w:val="36"/>
          <w:szCs w:val="36"/>
        </w:rPr>
      </w:pPr>
      <w:r>
        <w:rPr>
          <w:sz w:val="36"/>
          <w:szCs w:val="36"/>
        </w:rPr>
        <w:t>Catamarca: 11,53%</w:t>
      </w:r>
    </w:p>
    <w:p w:rsidR="007F58F0" w:rsidRDefault="007F58F0">
      <w:pPr>
        <w:rPr>
          <w:sz w:val="36"/>
          <w:szCs w:val="36"/>
        </w:rPr>
      </w:pPr>
    </w:p>
    <w:p w:rsidR="007F58F0" w:rsidRDefault="007F58F0">
      <w:pPr>
        <w:rPr>
          <w:sz w:val="36"/>
          <w:szCs w:val="36"/>
        </w:rPr>
      </w:pPr>
    </w:p>
    <w:p w:rsidR="007F58F0" w:rsidRDefault="000D0622">
      <w:pPr>
        <w:rPr>
          <w:b/>
          <w:bCs/>
          <w:sz w:val="36"/>
          <w:szCs w:val="36"/>
        </w:rPr>
      </w:pPr>
      <w:r>
        <w:rPr>
          <w:b/>
          <w:bCs/>
          <w:sz w:val="36"/>
          <w:szCs w:val="36"/>
        </w:rPr>
        <w:t>Provincias que bajaron en el período enero-mayo 2021</w:t>
      </w:r>
    </w:p>
    <w:p w:rsidR="007F58F0" w:rsidRDefault="007F58F0">
      <w:pPr>
        <w:rPr>
          <w:sz w:val="36"/>
          <w:szCs w:val="36"/>
        </w:rPr>
      </w:pPr>
    </w:p>
    <w:p w:rsidR="007F58F0" w:rsidRDefault="000D0622">
      <w:pPr>
        <w:rPr>
          <w:sz w:val="36"/>
          <w:szCs w:val="36"/>
        </w:rPr>
      </w:pPr>
      <w:r>
        <w:rPr>
          <w:sz w:val="36"/>
          <w:szCs w:val="36"/>
        </w:rPr>
        <w:t>Formosa: 2,18%</w:t>
      </w:r>
    </w:p>
    <w:p w:rsidR="007F58F0" w:rsidRDefault="007F58F0">
      <w:pPr>
        <w:rPr>
          <w:b/>
          <w:bCs/>
          <w:sz w:val="40"/>
          <w:szCs w:val="40"/>
          <w:u w:val="single"/>
          <w:lang w:val="es-AR"/>
        </w:rPr>
      </w:pPr>
    </w:p>
    <w:p w:rsidR="007F58F0" w:rsidRDefault="007F58F0">
      <w:pPr>
        <w:rPr>
          <w:bCs/>
          <w:sz w:val="40"/>
          <w:szCs w:val="40"/>
          <w:lang w:val="es-AR"/>
        </w:rPr>
      </w:pPr>
    </w:p>
    <w:p w:rsidR="007F58F0" w:rsidRDefault="007F58F0">
      <w:pPr>
        <w:rPr>
          <w:sz w:val="40"/>
          <w:szCs w:val="40"/>
          <w:lang w:val="es-AR"/>
        </w:rPr>
      </w:pPr>
    </w:p>
    <w:p w:rsidR="007F58F0" w:rsidRDefault="007F58F0">
      <w:pPr>
        <w:rPr>
          <w:sz w:val="40"/>
          <w:szCs w:val="40"/>
          <w:lang w:val="es-AR"/>
        </w:rPr>
      </w:pPr>
    </w:p>
    <w:p w:rsidR="007F58F0" w:rsidRDefault="007F58F0">
      <w:pPr>
        <w:rPr>
          <w:sz w:val="40"/>
          <w:szCs w:val="40"/>
          <w:lang w:val="es-AR"/>
        </w:rPr>
      </w:pPr>
    </w:p>
    <w:p w:rsidR="007F58F0" w:rsidRDefault="007F58F0">
      <w:pPr>
        <w:rPr>
          <w:sz w:val="40"/>
          <w:szCs w:val="40"/>
          <w:lang w:val="es-AR"/>
        </w:rPr>
      </w:pPr>
    </w:p>
    <w:p w:rsidR="007F58F0" w:rsidRDefault="007F58F0">
      <w:pPr>
        <w:rPr>
          <w:sz w:val="40"/>
          <w:szCs w:val="40"/>
          <w:lang w:val="es-AR"/>
        </w:rPr>
      </w:pPr>
    </w:p>
    <w:p w:rsidR="007F58F0" w:rsidRDefault="007F58F0">
      <w:pPr>
        <w:rPr>
          <w:sz w:val="40"/>
          <w:szCs w:val="40"/>
          <w:lang w:val="es-AR"/>
        </w:rPr>
      </w:pPr>
    </w:p>
    <w:sectPr w:rsidR="007F58F0">
      <w:headerReference w:type="default" r:id="rId8"/>
      <w:footerReference w:type="default" r:id="rId9"/>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22" w:rsidRDefault="000D0622">
      <w:r>
        <w:separator/>
      </w:r>
    </w:p>
  </w:endnote>
  <w:endnote w:type="continuationSeparator" w:id="0">
    <w:p w:rsidR="000D0622" w:rsidRDefault="000D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F0" w:rsidRDefault="000D0622">
    <w:pPr>
      <w:spacing w:before="120"/>
      <w:jc w:val="center"/>
      <w:rPr>
        <w:sz w:val="20"/>
      </w:rPr>
    </w:pPr>
    <w:r>
      <w:rPr>
        <w:sz w:val="20"/>
      </w:rPr>
      <w:t>SOLER 3909 - (1425)  BUENOS AIRES   TEL. 4824-7272/9505/9498/9489   FAX. 4822-7453  4823-1837</w:t>
    </w:r>
  </w:p>
  <w:p w:rsidR="007F58F0" w:rsidRDefault="000D0622">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22" w:rsidRDefault="000D0622">
      <w:r>
        <w:separator/>
      </w:r>
    </w:p>
  </w:footnote>
  <w:footnote w:type="continuationSeparator" w:id="0">
    <w:p w:rsidR="000D0622" w:rsidRDefault="000D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F0" w:rsidRDefault="000D0622">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7F58F0" w:rsidRDefault="007F58F0">
    <w:pPr>
      <w:pStyle w:val="Epgrafe"/>
    </w:pPr>
  </w:p>
  <w:p w:rsidR="007F58F0" w:rsidRDefault="007F58F0">
    <w:pPr>
      <w:pStyle w:val="Epgrafe"/>
    </w:pPr>
  </w:p>
  <w:p w:rsidR="007F58F0" w:rsidRDefault="007F58F0">
    <w:pPr>
      <w:pStyle w:val="Epgrafe"/>
    </w:pPr>
  </w:p>
  <w:p w:rsidR="007F58F0" w:rsidRDefault="007F58F0">
    <w:pPr>
      <w:pStyle w:val="Epgrafe"/>
    </w:pPr>
  </w:p>
  <w:p w:rsidR="007F58F0" w:rsidRDefault="007F58F0">
    <w:pPr>
      <w:pStyle w:val="Epgrafe"/>
    </w:pPr>
  </w:p>
  <w:p w:rsidR="007F58F0" w:rsidRDefault="007F58F0">
    <w:pPr>
      <w:pStyle w:val="Epgrafe"/>
    </w:pPr>
  </w:p>
  <w:p w:rsidR="007F58F0" w:rsidRDefault="000D0622">
    <w:pPr>
      <w:pStyle w:val="Epgrafe"/>
    </w:pPr>
    <w:r>
      <w:t>CAMARA DEL COMERCIO AUTOMOTOR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719D"/>
    <w:multiLevelType w:val="multilevel"/>
    <w:tmpl w:val="BE626982"/>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pStyle w:val="Ttulo81"/>
      <w:suff w:val="nothing"/>
      <w:lvlText w:val=""/>
      <w:lvlJc w:val="left"/>
      <w:pPr>
        <w:tabs>
          <w:tab w:val="num" w:pos="0"/>
        </w:tabs>
        <w:ind w:left="0" w:firstLine="0"/>
      </w:pPr>
    </w:lvl>
    <w:lvl w:ilvl="8">
      <w:start w:val="1"/>
      <w:numFmt w:val="none"/>
      <w:pStyle w:val="Ttulo91"/>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F0"/>
    <w:rsid w:val="000D0622"/>
    <w:rsid w:val="007F58F0"/>
    <w:rsid w:val="00D533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6E524C"/>
    <w:pPr>
      <w:keepNext/>
      <w:numPr>
        <w:numId w:val="1"/>
      </w:numPr>
      <w:outlineLvl w:val="0"/>
    </w:pPr>
    <w:rPr>
      <w:b/>
      <w:u w:val="single"/>
    </w:rPr>
  </w:style>
  <w:style w:type="paragraph" w:customStyle="1" w:styleId="Ttulo21">
    <w:name w:val="Título 21"/>
    <w:basedOn w:val="Normal"/>
    <w:next w:val="Normal"/>
    <w:qFormat/>
    <w:rsid w:val="006E524C"/>
    <w:pPr>
      <w:keepNext/>
      <w:numPr>
        <w:ilvl w:val="1"/>
        <w:numId w:val="1"/>
      </w:numPr>
      <w:outlineLvl w:val="1"/>
    </w:pPr>
  </w:style>
  <w:style w:type="paragraph" w:customStyle="1" w:styleId="Ttulo31">
    <w:name w:val="Título 31"/>
    <w:basedOn w:val="Normal"/>
    <w:next w:val="Normal"/>
    <w:qFormat/>
    <w:rsid w:val="006E524C"/>
    <w:pPr>
      <w:keepNext/>
      <w:numPr>
        <w:ilvl w:val="2"/>
        <w:numId w:val="1"/>
      </w:numPr>
      <w:jc w:val="right"/>
      <w:outlineLvl w:val="2"/>
    </w:pPr>
    <w:rPr>
      <w:sz w:val="28"/>
      <w:lang w:val="es-AR"/>
    </w:rPr>
  </w:style>
  <w:style w:type="paragraph" w:customStyle="1" w:styleId="Ttulo41">
    <w:name w:val="Título 41"/>
    <w:basedOn w:val="Normal"/>
    <w:next w:val="Normal"/>
    <w:qFormat/>
    <w:rsid w:val="006E524C"/>
    <w:pPr>
      <w:keepNext/>
      <w:numPr>
        <w:ilvl w:val="3"/>
        <w:numId w:val="1"/>
      </w:numPr>
      <w:outlineLvl w:val="3"/>
    </w:pPr>
    <w:rPr>
      <w:sz w:val="28"/>
    </w:rPr>
  </w:style>
  <w:style w:type="paragraph" w:customStyle="1" w:styleId="Ttulo51">
    <w:name w:val="Título 51"/>
    <w:basedOn w:val="Normal"/>
    <w:next w:val="Normal"/>
    <w:qFormat/>
    <w:rsid w:val="006E524C"/>
    <w:pPr>
      <w:keepNext/>
      <w:numPr>
        <w:ilvl w:val="4"/>
        <w:numId w:val="1"/>
      </w:numPr>
      <w:outlineLvl w:val="4"/>
    </w:pPr>
    <w:rPr>
      <w:b/>
      <w:sz w:val="28"/>
      <w:lang w:val="es-MX"/>
    </w:rPr>
  </w:style>
  <w:style w:type="paragraph" w:customStyle="1" w:styleId="Ttulo61">
    <w:name w:val="Título 61"/>
    <w:basedOn w:val="Normal"/>
    <w:next w:val="Normal"/>
    <w:qFormat/>
    <w:rsid w:val="006E524C"/>
    <w:pPr>
      <w:keepNext/>
      <w:numPr>
        <w:ilvl w:val="5"/>
        <w:numId w:val="1"/>
      </w:numPr>
      <w:outlineLvl w:val="5"/>
    </w:pPr>
    <w:rPr>
      <w:sz w:val="32"/>
      <w:lang w:val="es-MX"/>
    </w:rPr>
  </w:style>
  <w:style w:type="paragraph" w:customStyle="1" w:styleId="Ttulo71">
    <w:name w:val="Título 71"/>
    <w:basedOn w:val="Normal"/>
    <w:next w:val="Normal"/>
    <w:qFormat/>
    <w:rsid w:val="006E524C"/>
    <w:pPr>
      <w:keepNext/>
      <w:numPr>
        <w:ilvl w:val="6"/>
        <w:numId w:val="1"/>
      </w:numPr>
      <w:outlineLvl w:val="6"/>
    </w:pPr>
    <w:rPr>
      <w:sz w:val="28"/>
      <w:u w:val="single"/>
      <w:lang w:val="es-MX"/>
    </w:rPr>
  </w:style>
  <w:style w:type="paragraph" w:customStyle="1" w:styleId="Ttulo81">
    <w:name w:val="Título 81"/>
    <w:basedOn w:val="Normal"/>
    <w:next w:val="Normal"/>
    <w:qFormat/>
    <w:rsid w:val="006E524C"/>
    <w:pPr>
      <w:keepNext/>
      <w:numPr>
        <w:ilvl w:val="7"/>
        <w:numId w:val="1"/>
      </w:numPr>
      <w:outlineLvl w:val="7"/>
    </w:pPr>
    <w:rPr>
      <w:b/>
      <w:lang w:val="es-MX"/>
    </w:rPr>
  </w:style>
  <w:style w:type="paragraph" w:customStyle="1" w:styleId="Ttulo91">
    <w:name w:val="Título 91"/>
    <w:basedOn w:val="Normal"/>
    <w:next w:val="Normal"/>
    <w:qFormat/>
    <w:rsid w:val="006E524C"/>
    <w:pPr>
      <w:keepNext/>
      <w:numPr>
        <w:ilvl w:val="8"/>
        <w:numId w:val="1"/>
      </w:numPr>
      <w:outlineLvl w:val="8"/>
    </w:pPr>
    <w:rPr>
      <w:i/>
      <w:sz w:val="28"/>
      <w:lang w:val="es-MX"/>
    </w:rPr>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ndice">
    <w:name w:val="Índice"/>
    <w:basedOn w:val="Normal"/>
    <w:qFormat/>
    <w:rsid w:val="006E524C"/>
    <w:pPr>
      <w:suppressLineNumbers/>
    </w:pPr>
    <w:rPr>
      <w:rFonts w:cs="Arial"/>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rsid w:val="006E524C"/>
    <w:pPr>
      <w:tabs>
        <w:tab w:val="center" w:pos="4252"/>
        <w:tab w:val="right" w:pos="8504"/>
      </w:tabs>
    </w:pPr>
  </w:style>
  <w:style w:type="paragraph" w:customStyle="1" w:styleId="Piedepgina1">
    <w:name w:val="Pie de página1"/>
    <w:basedOn w:val="Normal"/>
    <w:rsid w:val="006E524C"/>
    <w:pPr>
      <w:tabs>
        <w:tab w:val="center" w:pos="4252"/>
        <w:tab w:val="right" w:pos="8504"/>
      </w:tabs>
    </w:pPr>
  </w:style>
  <w:style w:type="paragraph" w:styleId="Epgrafe">
    <w:name w:val="caption"/>
    <w:basedOn w:val="Normal"/>
    <w:next w:val="Normal"/>
    <w:qFormat/>
    <w:rsid w:val="006E524C"/>
    <w:pPr>
      <w:jc w:val="center"/>
    </w:pPr>
    <w:rPr>
      <w:b/>
      <w:spacing w:val="40"/>
    </w:r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Javi Frontera</cp:lastModifiedBy>
  <cp:revision>2</cp:revision>
  <dcterms:created xsi:type="dcterms:W3CDTF">2021-06-07T13:12:00Z</dcterms:created>
  <dcterms:modified xsi:type="dcterms:W3CDTF">2021-06-07T13:12:00Z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