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1B" w:rsidRDefault="002A521B">
      <w:pPr>
        <w:rPr>
          <w:lang w:val="es-MX"/>
        </w:rPr>
      </w:pPr>
      <w:bookmarkStart w:id="0" w:name="_GoBack"/>
      <w:bookmarkEnd w:id="0"/>
    </w:p>
    <w:p w:rsidR="002A521B" w:rsidRDefault="002A521B">
      <w:pPr>
        <w:rPr>
          <w:lang w:val="es-MX"/>
        </w:rPr>
      </w:pPr>
    </w:p>
    <w:p w:rsidR="002A521B" w:rsidRDefault="00786BCC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 w:rsidR="002A521B" w:rsidRDefault="002A521B">
      <w:pPr>
        <w:rPr>
          <w:b/>
          <w:sz w:val="36"/>
          <w:szCs w:val="36"/>
        </w:rPr>
      </w:pPr>
    </w:p>
    <w:p w:rsidR="002A521B" w:rsidRDefault="002A521B">
      <w:pPr>
        <w:rPr>
          <w:b/>
          <w:sz w:val="36"/>
          <w:szCs w:val="36"/>
          <w:u w:val="single"/>
        </w:rPr>
      </w:pPr>
    </w:p>
    <w:p w:rsidR="002A521B" w:rsidRDefault="00786BCC">
      <w:r>
        <w:rPr>
          <w:b/>
          <w:sz w:val="36"/>
          <w:szCs w:val="36"/>
          <w:u w:val="single"/>
        </w:rPr>
        <w:t xml:space="preserve">EN MARZO SE VENDIERON 156.793 VEHÍCULOS USADOS  </w:t>
      </w:r>
    </w:p>
    <w:p w:rsidR="002A521B" w:rsidRDefault="002A521B">
      <w:pPr>
        <w:rPr>
          <w:b/>
          <w:sz w:val="36"/>
          <w:szCs w:val="36"/>
          <w:u w:val="single"/>
        </w:rPr>
      </w:pPr>
    </w:p>
    <w:p w:rsidR="002A521B" w:rsidRDefault="002A521B">
      <w:pPr>
        <w:rPr>
          <w:b/>
          <w:sz w:val="36"/>
          <w:szCs w:val="36"/>
          <w:u w:val="single"/>
        </w:rPr>
      </w:pPr>
    </w:p>
    <w:p w:rsidR="002A521B" w:rsidRDefault="00786BC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 EL PERÍODO ENERO-MARZO SE COMERCIALIZARON 414.501 UNIDADES</w:t>
      </w:r>
    </w:p>
    <w:p w:rsidR="002A521B" w:rsidRDefault="002A521B">
      <w:pPr>
        <w:rPr>
          <w:b/>
          <w:sz w:val="36"/>
          <w:szCs w:val="36"/>
          <w:u w:val="single"/>
        </w:rPr>
      </w:pPr>
    </w:p>
    <w:p w:rsidR="002A521B" w:rsidRDefault="002A521B">
      <w:pPr>
        <w:rPr>
          <w:sz w:val="36"/>
          <w:szCs w:val="36"/>
        </w:rPr>
      </w:pPr>
    </w:p>
    <w:p w:rsidR="002A521B" w:rsidRDefault="00786BCC">
      <w:r>
        <w:rPr>
          <w:sz w:val="36"/>
          <w:szCs w:val="36"/>
        </w:rPr>
        <w:t xml:space="preserve">La Cámara del Comercio Automotor (CCA) informó que en el mes de marzo se comercializó en Argentina 156.793 vehículos usados, una suba del 65,03% comparado con igual mes de 2020 cuando se vendieron 95.006 unidades. </w:t>
      </w:r>
    </w:p>
    <w:p w:rsidR="002A521B" w:rsidRDefault="002A521B">
      <w:pPr>
        <w:rPr>
          <w:sz w:val="36"/>
          <w:szCs w:val="36"/>
        </w:rPr>
      </w:pPr>
    </w:p>
    <w:p w:rsidR="002A521B" w:rsidRDefault="00786BCC">
      <w:r>
        <w:rPr>
          <w:sz w:val="36"/>
          <w:szCs w:val="36"/>
        </w:rPr>
        <w:t>Si lo comparamos con el mes de febrero d</w:t>
      </w:r>
      <w:r>
        <w:rPr>
          <w:sz w:val="36"/>
          <w:szCs w:val="36"/>
        </w:rPr>
        <w:t>e 2021 (125.189 unidades) el crecimiento llega al  25,25%.</w:t>
      </w:r>
    </w:p>
    <w:p w:rsidR="002A521B" w:rsidRDefault="00786BCC">
      <w:r>
        <w:rPr>
          <w:sz w:val="36"/>
          <w:szCs w:val="36"/>
        </w:rPr>
        <w:t xml:space="preserve">     </w:t>
      </w:r>
    </w:p>
    <w:p w:rsidR="002A521B" w:rsidRDefault="00786BCC">
      <w:pPr>
        <w:rPr>
          <w:sz w:val="36"/>
          <w:szCs w:val="36"/>
        </w:rPr>
      </w:pPr>
      <w:r>
        <w:rPr>
          <w:sz w:val="36"/>
          <w:szCs w:val="36"/>
        </w:rPr>
        <w:t>En los primeros tres meses del año se vendieron 414.501 autos usados, una suba del 11,10% con respecto a igual período de 2020 cuando se comercializaron 373.073 unidades.</w:t>
      </w:r>
    </w:p>
    <w:p w:rsidR="002A521B" w:rsidRDefault="002A521B">
      <w:pPr>
        <w:rPr>
          <w:sz w:val="36"/>
          <w:szCs w:val="36"/>
        </w:rPr>
      </w:pPr>
    </w:p>
    <w:p w:rsidR="002A521B" w:rsidRDefault="002A521B">
      <w:pPr>
        <w:rPr>
          <w:sz w:val="36"/>
          <w:szCs w:val="36"/>
        </w:rPr>
      </w:pPr>
    </w:p>
    <w:p w:rsidR="002A521B" w:rsidRDefault="002A521B">
      <w:pPr>
        <w:rPr>
          <w:b/>
          <w:sz w:val="36"/>
          <w:szCs w:val="36"/>
          <w:u w:val="single"/>
        </w:rPr>
      </w:pPr>
    </w:p>
    <w:p w:rsidR="002A521B" w:rsidRDefault="002A521B">
      <w:pPr>
        <w:rPr>
          <w:b/>
          <w:sz w:val="36"/>
          <w:szCs w:val="36"/>
          <w:u w:val="single"/>
        </w:rPr>
      </w:pPr>
    </w:p>
    <w:p w:rsidR="002A521B" w:rsidRDefault="00786BCC">
      <w:r>
        <w:rPr>
          <w:b/>
          <w:sz w:val="36"/>
          <w:szCs w:val="36"/>
          <w:u w:val="single"/>
        </w:rPr>
        <w:t>DECLARACIONES DE</w:t>
      </w:r>
      <w:r>
        <w:rPr>
          <w:b/>
          <w:sz w:val="36"/>
          <w:szCs w:val="36"/>
          <w:u w:val="single"/>
        </w:rPr>
        <w:t xml:space="preserve"> ALEJANDRO LAMAS, SECRETARIO DE LA CCA  </w:t>
      </w:r>
      <w:r>
        <w:rPr>
          <w:b/>
          <w:sz w:val="36"/>
          <w:szCs w:val="36"/>
        </w:rPr>
        <w:t xml:space="preserve"> </w:t>
      </w:r>
    </w:p>
    <w:p w:rsidR="002A521B" w:rsidRDefault="002A521B">
      <w:pPr>
        <w:rPr>
          <w:sz w:val="36"/>
          <w:szCs w:val="36"/>
        </w:rPr>
      </w:pPr>
    </w:p>
    <w:p w:rsidR="002A521B" w:rsidRDefault="00786BCC">
      <w:r>
        <w:rPr>
          <w:sz w:val="36"/>
          <w:szCs w:val="36"/>
        </w:rPr>
        <w:t>“Primero tenemos que decir que no tiene sentido comparar el crecimiento del 65,03% en las ventas de autos usados durante marzo con igual mes de 2020 porque en este último, fue el comienzo de la pandemia. Pero si e</w:t>
      </w:r>
      <w:r>
        <w:rPr>
          <w:sz w:val="36"/>
          <w:szCs w:val="36"/>
        </w:rPr>
        <w:t xml:space="preserve">s importante mirar el aumento del 25,25% comparado con febrero y sobre todo si buscamos en los archivos y encontramos que el mes pasado supero el volumen de </w:t>
      </w:r>
      <w:proofErr w:type="spellStart"/>
      <w:r>
        <w:rPr>
          <w:sz w:val="36"/>
          <w:szCs w:val="36"/>
        </w:rPr>
        <w:t>comercializacion</w:t>
      </w:r>
      <w:proofErr w:type="spellEnd"/>
      <w:r>
        <w:rPr>
          <w:sz w:val="36"/>
          <w:szCs w:val="36"/>
        </w:rPr>
        <w:t xml:space="preserve"> con marzo del 2013 (143.980 vehículos) que fue el mejor año de ventas de la histor</w:t>
      </w:r>
      <w:r>
        <w:rPr>
          <w:sz w:val="36"/>
          <w:szCs w:val="36"/>
        </w:rPr>
        <w:t xml:space="preserve">ia (1.855.032 unidades)”, dijo el directivo. </w:t>
      </w:r>
    </w:p>
    <w:p w:rsidR="002A521B" w:rsidRDefault="00786BCC">
      <w:pPr>
        <w:rPr>
          <w:sz w:val="36"/>
          <w:szCs w:val="36"/>
        </w:rPr>
      </w:pPr>
      <w:r>
        <w:rPr>
          <w:sz w:val="36"/>
          <w:szCs w:val="36"/>
        </w:rPr>
        <w:t xml:space="preserve">“Y lo tendremos que seguir mirando porque si la tendencia se consolida estaríamos entrando en una senda de recuperación muy interesante”, expresó Lamas. </w:t>
      </w:r>
    </w:p>
    <w:p w:rsidR="002A521B" w:rsidRDefault="00786BCC">
      <w:pPr>
        <w:rPr>
          <w:sz w:val="32"/>
          <w:szCs w:val="32"/>
        </w:rPr>
      </w:pPr>
      <w:r>
        <w:rPr>
          <w:sz w:val="36"/>
          <w:szCs w:val="36"/>
        </w:rPr>
        <w:t>“También es importante detallar varios puntos: Uno es qu</w:t>
      </w:r>
      <w:r>
        <w:rPr>
          <w:sz w:val="36"/>
          <w:szCs w:val="36"/>
        </w:rPr>
        <w:t xml:space="preserve">e el valor del dólar no es el mismo que meses anteriores. Dos que no se ha normalizado y por el contrario se está profundizando la </w:t>
      </w:r>
      <w:proofErr w:type="gramStart"/>
      <w:r>
        <w:rPr>
          <w:sz w:val="36"/>
          <w:szCs w:val="36"/>
        </w:rPr>
        <w:t>demora</w:t>
      </w:r>
      <w:proofErr w:type="gramEnd"/>
      <w:r>
        <w:rPr>
          <w:sz w:val="36"/>
          <w:szCs w:val="36"/>
        </w:rPr>
        <w:t xml:space="preserve"> en la entrega de autos 0km. Tres que a raíz de este problema los precios de los autos usados no encuentran un techo. C</w:t>
      </w:r>
      <w:r>
        <w:rPr>
          <w:sz w:val="36"/>
          <w:szCs w:val="36"/>
        </w:rPr>
        <w:t xml:space="preserve">uatro que pese a que los consumidores quedaron atrapados en hacer frente a los pagos de servicios públicos y al aumento desmedido del costo de vida en general, con sueldos que quedaron ampliamente </w:t>
      </w:r>
    </w:p>
    <w:p w:rsidR="002A521B" w:rsidRDefault="002A521B">
      <w:pPr>
        <w:rPr>
          <w:sz w:val="32"/>
          <w:szCs w:val="32"/>
        </w:rPr>
      </w:pPr>
    </w:p>
    <w:p w:rsidR="002A521B" w:rsidRDefault="002A521B">
      <w:pPr>
        <w:rPr>
          <w:sz w:val="32"/>
          <w:szCs w:val="32"/>
        </w:rPr>
      </w:pPr>
    </w:p>
    <w:p w:rsidR="002A521B" w:rsidRDefault="002A521B">
      <w:pPr>
        <w:rPr>
          <w:sz w:val="32"/>
          <w:szCs w:val="32"/>
        </w:rPr>
      </w:pPr>
    </w:p>
    <w:p w:rsidR="002A521B" w:rsidRDefault="00786BCC">
      <w:pPr>
        <w:rPr>
          <w:sz w:val="32"/>
          <w:szCs w:val="32"/>
        </w:rPr>
      </w:pPr>
      <w:proofErr w:type="gramStart"/>
      <w:r>
        <w:rPr>
          <w:sz w:val="36"/>
          <w:szCs w:val="36"/>
        </w:rPr>
        <w:t>relegados</w:t>
      </w:r>
      <w:proofErr w:type="gramEnd"/>
      <w:r>
        <w:rPr>
          <w:sz w:val="36"/>
          <w:szCs w:val="36"/>
        </w:rPr>
        <w:t>, la compra va en aumento. Quinto las operacio</w:t>
      </w:r>
      <w:r>
        <w:rPr>
          <w:sz w:val="36"/>
          <w:szCs w:val="36"/>
        </w:rPr>
        <w:t>nes se siguen realizando entregando el usados  y efectivo o efectivo directamente porque la financiación sigue siendo prohibitiva.  Desglosados estos puntos, miramos con un prudente optimismo el camino de la ansiada recuperación, en la medida que el gobier</w:t>
      </w:r>
      <w:r>
        <w:rPr>
          <w:sz w:val="36"/>
          <w:szCs w:val="36"/>
        </w:rPr>
        <w:t>no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nacional no decrete cierres de comercios a causa de la pandemia”, mencionó Alejandro Lamas. </w:t>
      </w:r>
    </w:p>
    <w:p w:rsidR="002A521B" w:rsidRDefault="002A521B">
      <w:pPr>
        <w:rPr>
          <w:sz w:val="36"/>
          <w:szCs w:val="36"/>
        </w:rPr>
      </w:pPr>
    </w:p>
    <w:p w:rsidR="002A521B" w:rsidRDefault="00786BCC">
      <w:pPr>
        <w:rPr>
          <w:u w:val="single"/>
        </w:rPr>
      </w:pPr>
      <w:r>
        <w:rPr>
          <w:b/>
          <w:bCs/>
          <w:sz w:val="40"/>
          <w:szCs w:val="40"/>
          <w:u w:val="single"/>
        </w:rPr>
        <w:t>Ranking 10 usados más vendidos en Argentina durante marzo 2021</w:t>
      </w:r>
    </w:p>
    <w:p w:rsidR="002A521B" w:rsidRDefault="002A521B">
      <w:pPr>
        <w:rPr>
          <w:b/>
          <w:bCs/>
          <w:sz w:val="40"/>
          <w:szCs w:val="40"/>
          <w:lang w:val="en-US"/>
        </w:rPr>
      </w:pPr>
    </w:p>
    <w:p w:rsidR="002A521B" w:rsidRDefault="00786BC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1-VW </w:t>
      </w:r>
      <w:proofErr w:type="spellStart"/>
      <w:r>
        <w:rPr>
          <w:sz w:val="40"/>
          <w:szCs w:val="40"/>
          <w:lang w:val="en-US"/>
        </w:rPr>
        <w:t>Gol</w:t>
      </w:r>
      <w:proofErr w:type="spellEnd"/>
      <w:r>
        <w:rPr>
          <w:sz w:val="40"/>
          <w:szCs w:val="40"/>
          <w:lang w:val="en-US"/>
        </w:rPr>
        <w:t xml:space="preserve"> y Trend: 10.421</w:t>
      </w:r>
    </w:p>
    <w:p w:rsidR="002A521B" w:rsidRDefault="00786BCC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2-Chev.</w:t>
      </w:r>
      <w:proofErr w:type="gram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Corsa</w:t>
      </w:r>
      <w:proofErr w:type="spellEnd"/>
      <w:r>
        <w:rPr>
          <w:sz w:val="40"/>
          <w:szCs w:val="40"/>
          <w:lang w:val="en-US"/>
        </w:rPr>
        <w:t xml:space="preserve"> y Classic: 6.044</w:t>
      </w:r>
    </w:p>
    <w:p w:rsidR="002A521B" w:rsidRDefault="00786BC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3-Renault Clio: 4.452</w:t>
      </w:r>
    </w:p>
    <w:p w:rsidR="002A521B" w:rsidRDefault="00786BC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4-Toyota Hilux: </w:t>
      </w:r>
      <w:r>
        <w:rPr>
          <w:sz w:val="40"/>
          <w:szCs w:val="40"/>
          <w:lang w:val="en-US"/>
        </w:rPr>
        <w:t>4.439</w:t>
      </w:r>
    </w:p>
    <w:p w:rsidR="002A521B" w:rsidRDefault="00786BC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5-Fiat </w:t>
      </w:r>
      <w:proofErr w:type="spellStart"/>
      <w:r>
        <w:rPr>
          <w:sz w:val="40"/>
          <w:szCs w:val="40"/>
          <w:lang w:val="en-US"/>
        </w:rPr>
        <w:t>Palio</w:t>
      </w:r>
      <w:proofErr w:type="spellEnd"/>
      <w:r>
        <w:rPr>
          <w:sz w:val="40"/>
          <w:szCs w:val="40"/>
          <w:lang w:val="en-US"/>
        </w:rPr>
        <w:t>: 3.755</w:t>
      </w:r>
    </w:p>
    <w:p w:rsidR="002A521B" w:rsidRDefault="00786BC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6-Ford Fiesta: 3.568</w:t>
      </w:r>
    </w:p>
    <w:p w:rsidR="002A521B" w:rsidRDefault="00786BC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7-Ford </w:t>
      </w:r>
      <w:proofErr w:type="spellStart"/>
      <w:r>
        <w:rPr>
          <w:sz w:val="40"/>
          <w:szCs w:val="40"/>
          <w:lang w:val="en-US"/>
        </w:rPr>
        <w:t>Ka</w:t>
      </w:r>
      <w:proofErr w:type="spellEnd"/>
      <w:r>
        <w:rPr>
          <w:sz w:val="40"/>
          <w:szCs w:val="40"/>
          <w:lang w:val="en-US"/>
        </w:rPr>
        <w:t>: 3.190</w:t>
      </w:r>
    </w:p>
    <w:p w:rsidR="002A521B" w:rsidRDefault="00786BC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8-Ford Ranger: 3.143</w:t>
      </w:r>
    </w:p>
    <w:p w:rsidR="002A521B" w:rsidRDefault="00786BC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9-Ford </w:t>
      </w:r>
      <w:proofErr w:type="spellStart"/>
      <w:r>
        <w:rPr>
          <w:sz w:val="40"/>
          <w:szCs w:val="40"/>
          <w:lang w:val="en-US"/>
        </w:rPr>
        <w:t>EcoSport</w:t>
      </w:r>
      <w:proofErr w:type="spellEnd"/>
      <w:r>
        <w:rPr>
          <w:sz w:val="40"/>
          <w:szCs w:val="40"/>
          <w:lang w:val="en-US"/>
        </w:rPr>
        <w:t>: 3.113</w:t>
      </w:r>
    </w:p>
    <w:p w:rsidR="002A521B" w:rsidRDefault="00786BC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10-Ford Focus: 2.990</w:t>
      </w:r>
    </w:p>
    <w:p w:rsidR="002A521B" w:rsidRDefault="002A521B">
      <w:pPr>
        <w:rPr>
          <w:sz w:val="40"/>
          <w:szCs w:val="40"/>
          <w:lang w:val="en-US"/>
        </w:rPr>
      </w:pPr>
    </w:p>
    <w:p w:rsidR="002A521B" w:rsidRDefault="002A521B">
      <w:pPr>
        <w:rPr>
          <w:b/>
          <w:bCs/>
          <w:sz w:val="40"/>
          <w:szCs w:val="40"/>
          <w:u w:val="single"/>
          <w:lang w:val="es-AR"/>
        </w:rPr>
      </w:pPr>
    </w:p>
    <w:p w:rsidR="002A521B" w:rsidRDefault="002A521B">
      <w:pPr>
        <w:rPr>
          <w:b/>
          <w:bCs/>
          <w:sz w:val="40"/>
          <w:szCs w:val="40"/>
          <w:u w:val="single"/>
          <w:lang w:val="es-AR"/>
        </w:rPr>
      </w:pPr>
    </w:p>
    <w:p w:rsidR="002A521B" w:rsidRDefault="00786BCC">
      <w:r>
        <w:rPr>
          <w:b/>
          <w:bCs/>
          <w:sz w:val="40"/>
          <w:szCs w:val="40"/>
          <w:u w:val="single"/>
          <w:lang w:val="es-AR"/>
        </w:rPr>
        <w:t>Las provincias que subieron durante enero-marzo 2021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Tierra del Fuego: 21,99%</w:t>
      </w:r>
    </w:p>
    <w:p w:rsidR="002A521B" w:rsidRDefault="00786BCC">
      <w:pPr>
        <w:rPr>
          <w:sz w:val="40"/>
          <w:szCs w:val="40"/>
          <w:lang w:val="es-AR"/>
        </w:rPr>
      </w:pPr>
      <w:proofErr w:type="spellStart"/>
      <w:r>
        <w:rPr>
          <w:sz w:val="40"/>
          <w:szCs w:val="40"/>
          <w:lang w:val="es-AR"/>
        </w:rPr>
        <w:t>Sgo</w:t>
      </w:r>
      <w:proofErr w:type="spellEnd"/>
      <w:r>
        <w:rPr>
          <w:sz w:val="40"/>
          <w:szCs w:val="40"/>
          <w:lang w:val="es-AR"/>
        </w:rPr>
        <w:t xml:space="preserve"> del Estero: 20,79%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CABA: 20,29%</w:t>
      </w:r>
    </w:p>
    <w:p w:rsidR="002A521B" w:rsidRDefault="00786BCC">
      <w:pPr>
        <w:rPr>
          <w:sz w:val="40"/>
          <w:szCs w:val="40"/>
          <w:lang w:val="es-AR"/>
        </w:rPr>
      </w:pPr>
      <w:proofErr w:type="spellStart"/>
      <w:r>
        <w:rPr>
          <w:sz w:val="40"/>
          <w:szCs w:val="40"/>
          <w:lang w:val="es-AR"/>
        </w:rPr>
        <w:t>Pcia</w:t>
      </w:r>
      <w:proofErr w:type="spellEnd"/>
      <w:r>
        <w:rPr>
          <w:sz w:val="40"/>
          <w:szCs w:val="40"/>
          <w:lang w:val="es-AR"/>
        </w:rPr>
        <w:t>. Bs.A</w:t>
      </w:r>
      <w:r>
        <w:rPr>
          <w:sz w:val="40"/>
          <w:szCs w:val="40"/>
          <w:lang w:val="es-AR"/>
        </w:rPr>
        <w:t>s.: 13,39%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La Pampa: 12,22%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La Rioja: 11,97%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Chubut: 11,86%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Córdoba: 11,62%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Entre Ríos: 10,41%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Santa Fe: 10,34%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Chaco: 9,38%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Salta: 8,40%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San Luis: 7,97%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Mendoza: 6,66%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Jujuy: 5,79%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Misiones: 4,96%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Corrientes: 4,56%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San Juan: 2,07%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Tucumán: 1,89%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Río </w:t>
      </w:r>
      <w:r>
        <w:rPr>
          <w:sz w:val="40"/>
          <w:szCs w:val="40"/>
          <w:lang w:val="es-AR"/>
        </w:rPr>
        <w:t>Negro: 1,69%</w:t>
      </w:r>
    </w:p>
    <w:p w:rsidR="002A521B" w:rsidRDefault="002A521B">
      <w:pPr>
        <w:rPr>
          <w:sz w:val="40"/>
          <w:szCs w:val="40"/>
          <w:lang w:val="es-AR"/>
        </w:rPr>
      </w:pPr>
    </w:p>
    <w:p w:rsidR="002A521B" w:rsidRDefault="002A521B">
      <w:pPr>
        <w:rPr>
          <w:b/>
          <w:bCs/>
          <w:u w:val="single"/>
        </w:rPr>
      </w:pPr>
    </w:p>
    <w:p w:rsidR="002A521B" w:rsidRDefault="002A521B">
      <w:pPr>
        <w:rPr>
          <w:b/>
          <w:bCs/>
          <w:u w:val="single"/>
        </w:rPr>
      </w:pPr>
    </w:p>
    <w:p w:rsidR="002A521B" w:rsidRDefault="00786BCC">
      <w:pPr>
        <w:rPr>
          <w:b/>
          <w:bCs/>
          <w:u w:val="single"/>
        </w:rPr>
      </w:pPr>
      <w:r>
        <w:rPr>
          <w:b/>
          <w:bCs/>
          <w:sz w:val="40"/>
          <w:szCs w:val="40"/>
          <w:u w:val="single"/>
          <w:lang w:val="es-AR"/>
        </w:rPr>
        <w:t>Las provincias que bajaron durante enero-marzo 2021</w:t>
      </w:r>
    </w:p>
    <w:p w:rsidR="002A521B" w:rsidRDefault="002A521B">
      <w:pPr>
        <w:rPr>
          <w:b/>
          <w:bCs/>
          <w:u w:val="single"/>
        </w:rPr>
      </w:pPr>
    </w:p>
    <w:p w:rsidR="002A521B" w:rsidRDefault="002A521B">
      <w:pPr>
        <w:rPr>
          <w:b/>
          <w:bCs/>
          <w:u w:val="single"/>
        </w:rPr>
      </w:pP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Formosa: 19,84%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Catamarca: 7,71%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Santa Cruz: 6,29%</w:t>
      </w:r>
    </w:p>
    <w:p w:rsidR="002A521B" w:rsidRDefault="00786BCC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Neuquén: 1,53%</w:t>
      </w:r>
    </w:p>
    <w:p w:rsidR="002A521B" w:rsidRDefault="002A521B">
      <w:pPr>
        <w:rPr>
          <w:sz w:val="40"/>
          <w:szCs w:val="40"/>
          <w:lang w:val="es-AR"/>
        </w:rPr>
      </w:pPr>
    </w:p>
    <w:p w:rsidR="002A521B" w:rsidRDefault="002A521B">
      <w:pPr>
        <w:rPr>
          <w:sz w:val="40"/>
          <w:szCs w:val="40"/>
          <w:lang w:val="es-AR"/>
        </w:rPr>
      </w:pPr>
    </w:p>
    <w:p w:rsidR="002A521B" w:rsidRDefault="002A521B">
      <w:pPr>
        <w:rPr>
          <w:sz w:val="40"/>
          <w:szCs w:val="40"/>
          <w:lang w:val="es-AR"/>
        </w:rPr>
      </w:pPr>
    </w:p>
    <w:p w:rsidR="002A521B" w:rsidRDefault="00786BCC">
      <w:pPr>
        <w:rPr>
          <w:b/>
          <w:bCs/>
          <w:sz w:val="40"/>
          <w:szCs w:val="40"/>
          <w:lang w:val="es-AR"/>
        </w:rPr>
      </w:pPr>
      <w:r>
        <w:rPr>
          <w:b/>
          <w:bCs/>
          <w:sz w:val="40"/>
          <w:szCs w:val="40"/>
          <w:lang w:val="es-AR"/>
        </w:rPr>
        <w:t>Buenos Aires, abril 2021</w:t>
      </w:r>
    </w:p>
    <w:p w:rsidR="002A521B" w:rsidRDefault="002A521B">
      <w:pPr>
        <w:rPr>
          <w:sz w:val="40"/>
          <w:szCs w:val="40"/>
          <w:lang w:val="es-AR"/>
        </w:rPr>
      </w:pPr>
    </w:p>
    <w:p w:rsidR="002A521B" w:rsidRDefault="002A521B">
      <w:pPr>
        <w:rPr>
          <w:sz w:val="40"/>
          <w:szCs w:val="40"/>
          <w:lang w:val="es-AR"/>
        </w:rPr>
      </w:pPr>
    </w:p>
    <w:p w:rsidR="002A521B" w:rsidRDefault="002A521B">
      <w:pPr>
        <w:rPr>
          <w:sz w:val="40"/>
          <w:szCs w:val="40"/>
          <w:lang w:val="es-AR"/>
        </w:rPr>
      </w:pPr>
    </w:p>
    <w:p w:rsidR="002A521B" w:rsidRDefault="002A521B">
      <w:pPr>
        <w:rPr>
          <w:sz w:val="40"/>
          <w:szCs w:val="40"/>
          <w:lang w:val="es-AR"/>
        </w:rPr>
      </w:pPr>
    </w:p>
    <w:p w:rsidR="002A521B" w:rsidRDefault="002A521B">
      <w:pPr>
        <w:rPr>
          <w:sz w:val="40"/>
          <w:szCs w:val="40"/>
          <w:lang w:val="es-AR"/>
        </w:rPr>
      </w:pPr>
    </w:p>
    <w:p w:rsidR="002A521B" w:rsidRDefault="002A521B">
      <w:pPr>
        <w:rPr>
          <w:sz w:val="40"/>
          <w:szCs w:val="40"/>
          <w:lang w:val="es-AR"/>
        </w:rPr>
      </w:pPr>
    </w:p>
    <w:p w:rsidR="002A521B" w:rsidRDefault="002A521B">
      <w:pPr>
        <w:rPr>
          <w:sz w:val="40"/>
          <w:szCs w:val="40"/>
          <w:lang w:val="es-AR"/>
        </w:rPr>
      </w:pPr>
    </w:p>
    <w:sectPr w:rsidR="002A521B">
      <w:headerReference w:type="default" r:id="rId8"/>
      <w:footerReference w:type="default" r:id="rId9"/>
      <w:pgSz w:w="12240" w:h="15840"/>
      <w:pgMar w:top="777" w:right="1418" w:bottom="1559" w:left="1418" w:header="720" w:footer="12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CC" w:rsidRDefault="00786BCC">
      <w:r>
        <w:separator/>
      </w:r>
    </w:p>
  </w:endnote>
  <w:endnote w:type="continuationSeparator" w:id="0">
    <w:p w:rsidR="00786BCC" w:rsidRDefault="0078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1B" w:rsidRDefault="00786BCC">
    <w:pPr>
      <w:spacing w:before="12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 w:rsidR="002A521B" w:rsidRDefault="00786BCC">
    <w:pPr>
      <w:pStyle w:val="Piedepgina"/>
    </w:pPr>
    <w:r>
      <w:tab/>
      <w:t>http://www.cca.org.ar---- e-mail: cca@cca.org.ar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CC" w:rsidRDefault="00786BCC">
      <w:r>
        <w:separator/>
      </w:r>
    </w:p>
  </w:footnote>
  <w:footnote w:type="continuationSeparator" w:id="0">
    <w:p w:rsidR="00786BCC" w:rsidRDefault="00786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1B" w:rsidRDefault="00786BCC">
    <w:pPr>
      <w:pStyle w:val="Epgrafe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6" behindDoc="1" locked="0" layoutInCell="0" allowOverlap="1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521B" w:rsidRDefault="002A521B">
    <w:pPr>
      <w:pStyle w:val="Epgrafe"/>
    </w:pPr>
  </w:p>
  <w:p w:rsidR="002A521B" w:rsidRDefault="002A521B">
    <w:pPr>
      <w:pStyle w:val="Epgrafe"/>
    </w:pPr>
  </w:p>
  <w:p w:rsidR="002A521B" w:rsidRDefault="002A521B">
    <w:pPr>
      <w:pStyle w:val="Epgrafe"/>
    </w:pPr>
  </w:p>
  <w:p w:rsidR="002A521B" w:rsidRDefault="002A521B">
    <w:pPr>
      <w:pStyle w:val="Epgrafe"/>
    </w:pPr>
  </w:p>
  <w:p w:rsidR="002A521B" w:rsidRDefault="002A521B">
    <w:pPr>
      <w:pStyle w:val="Epgrafe"/>
    </w:pPr>
  </w:p>
  <w:p w:rsidR="002A521B" w:rsidRDefault="002A521B">
    <w:pPr>
      <w:pStyle w:val="Epgrafe"/>
    </w:pPr>
  </w:p>
  <w:p w:rsidR="002A521B" w:rsidRDefault="00786BCC">
    <w:pPr>
      <w:pStyle w:val="Epgrafe"/>
    </w:pPr>
    <w:r>
      <w:t xml:space="preserve">CAMARA </w:t>
    </w:r>
    <w:r>
      <w:t>DEL COMERCIO AUTOMOTOR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3761"/>
    <w:multiLevelType w:val="multilevel"/>
    <w:tmpl w:val="6A20A6E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521B"/>
    <w:rsid w:val="002A521B"/>
    <w:rsid w:val="00786BCC"/>
    <w:rsid w:val="00A1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val="es-ES_tradnl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b/>
      <w:i w:val="0"/>
      <w:u w:val="none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St6z0">
    <w:name w:val="WW8NumSt6z0"/>
    <w:qFormat/>
    <w:rPr>
      <w:rFonts w:ascii="Symbol" w:hAnsi="Symbol" w:cs="Symbol"/>
    </w:rPr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Destacado">
    <w:name w:val="Destacado"/>
    <w:qFormat/>
    <w:rPr>
      <w:i/>
    </w:rPr>
  </w:style>
  <w:style w:type="character" w:customStyle="1" w:styleId="Muydestacado">
    <w:name w:val="Muy destacado"/>
    <w:qFormat/>
    <w:rPr>
      <w:b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next w:val="Normal"/>
    <w:qFormat/>
    <w:pPr>
      <w:jc w:val="center"/>
    </w:pPr>
    <w:rPr>
      <w:b/>
      <w:spacing w:val="40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Pr>
      <w:sz w:val="28"/>
      <w:lang w:val="es-MX"/>
    </w:rPr>
  </w:style>
  <w:style w:type="paragraph" w:styleId="Textoindependiente3">
    <w:name w:val="Body Text 3"/>
    <w:basedOn w:val="Normal"/>
    <w:qFormat/>
    <w:rPr>
      <w:b/>
      <w:lang w:val="es-MX"/>
    </w:rPr>
  </w:style>
  <w:style w:type="paragraph" w:styleId="NormalWeb">
    <w:name w:val="Normal (Web)"/>
    <w:basedOn w:val="Normal"/>
    <w:qFormat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val="es-ES_tradnl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b/>
      <w:i w:val="0"/>
      <w:u w:val="none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St6z0">
    <w:name w:val="WW8NumSt6z0"/>
    <w:qFormat/>
    <w:rPr>
      <w:rFonts w:ascii="Symbol" w:hAnsi="Symbol" w:cs="Symbol"/>
    </w:rPr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Destacado">
    <w:name w:val="Destacado"/>
    <w:qFormat/>
    <w:rPr>
      <w:i/>
    </w:rPr>
  </w:style>
  <w:style w:type="character" w:customStyle="1" w:styleId="Muydestacado">
    <w:name w:val="Muy destacado"/>
    <w:qFormat/>
    <w:rPr>
      <w:b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next w:val="Normal"/>
    <w:qFormat/>
    <w:pPr>
      <w:jc w:val="center"/>
    </w:pPr>
    <w:rPr>
      <w:b/>
      <w:spacing w:val="40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Pr>
      <w:sz w:val="28"/>
      <w:lang w:val="es-MX"/>
    </w:rPr>
  </w:style>
  <w:style w:type="paragraph" w:styleId="Textoindependiente3">
    <w:name w:val="Body Text 3"/>
    <w:basedOn w:val="Normal"/>
    <w:qFormat/>
    <w:rPr>
      <w:b/>
      <w:lang w:val="es-MX"/>
    </w:rPr>
  </w:style>
  <w:style w:type="paragraph" w:styleId="NormalWeb">
    <w:name w:val="Normal (Web)"/>
    <w:basedOn w:val="Normal"/>
    <w:qFormat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Javi Frontera</cp:lastModifiedBy>
  <cp:revision>2</cp:revision>
  <cp:lastPrinted>2020-01-03T11:55:00Z</cp:lastPrinted>
  <dcterms:created xsi:type="dcterms:W3CDTF">2021-04-05T13:12:00Z</dcterms:created>
  <dcterms:modified xsi:type="dcterms:W3CDTF">2021-04-05T13:12:00Z</dcterms:modified>
  <dc:language>es-AR</dc:language>
</cp:coreProperties>
</file>