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44" w:rsidRDefault="00734844">
      <w:pPr>
        <w:rPr>
          <w:lang w:val="es-MX"/>
        </w:rPr>
      </w:pPr>
      <w:bookmarkStart w:id="0" w:name="_GoBack"/>
      <w:bookmarkEnd w:id="0"/>
    </w:p>
    <w:p w:rsidR="00734844" w:rsidRDefault="00734844">
      <w:pPr>
        <w:rPr>
          <w:lang w:val="es-MX"/>
        </w:rPr>
      </w:pPr>
    </w:p>
    <w:p w:rsidR="00734844" w:rsidRDefault="00734844">
      <w:pPr>
        <w:rPr>
          <w:lang w:val="es-MX"/>
        </w:rPr>
      </w:pPr>
    </w:p>
    <w:p w:rsidR="00734844" w:rsidRDefault="001D469E">
      <w:pPr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INFORMACION DE PRENSA</w:t>
      </w:r>
    </w:p>
    <w:p w:rsidR="00734844" w:rsidRDefault="00734844">
      <w:pPr>
        <w:rPr>
          <w:b/>
          <w:sz w:val="36"/>
          <w:szCs w:val="36"/>
        </w:rPr>
      </w:pPr>
    </w:p>
    <w:p w:rsidR="00734844" w:rsidRDefault="00734844">
      <w:pPr>
        <w:rPr>
          <w:b/>
          <w:sz w:val="36"/>
          <w:szCs w:val="36"/>
          <w:u w:val="single"/>
        </w:rPr>
      </w:pPr>
    </w:p>
    <w:p w:rsidR="00734844" w:rsidRDefault="001D469E">
      <w:r>
        <w:rPr>
          <w:b/>
          <w:sz w:val="36"/>
          <w:szCs w:val="36"/>
          <w:u w:val="single"/>
        </w:rPr>
        <w:t xml:space="preserve">EN FEBRERO SE VENDIERON 125.189 VEHÍCULOS USADOS  </w:t>
      </w:r>
    </w:p>
    <w:p w:rsidR="00734844" w:rsidRDefault="00734844">
      <w:pPr>
        <w:rPr>
          <w:b/>
          <w:sz w:val="36"/>
          <w:szCs w:val="36"/>
          <w:u w:val="single"/>
        </w:rPr>
      </w:pPr>
    </w:p>
    <w:p w:rsidR="00734844" w:rsidRDefault="001D469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 ENERO-FEBRERO SE COMERCIALIZARON 257.708   UNIDADES</w:t>
      </w:r>
    </w:p>
    <w:p w:rsidR="00734844" w:rsidRDefault="00734844">
      <w:pPr>
        <w:rPr>
          <w:b/>
          <w:sz w:val="36"/>
          <w:szCs w:val="36"/>
          <w:u w:val="single"/>
        </w:rPr>
      </w:pPr>
    </w:p>
    <w:p w:rsidR="00734844" w:rsidRDefault="00734844">
      <w:pPr>
        <w:rPr>
          <w:sz w:val="36"/>
          <w:szCs w:val="36"/>
        </w:rPr>
      </w:pPr>
    </w:p>
    <w:p w:rsidR="00734844" w:rsidRDefault="001D469E">
      <w:r>
        <w:rPr>
          <w:sz w:val="36"/>
          <w:szCs w:val="36"/>
        </w:rPr>
        <w:t xml:space="preserve">La Cámara del Comercio Automotor (CCA) informó que en el mes de febrero se comercializó en Argentina 125.189 vehículos usados, una suba del 0,43% comparado con igual mes de 2020 cuando se vendieron 124.654 unidades. </w:t>
      </w:r>
    </w:p>
    <w:p w:rsidR="00734844" w:rsidRDefault="00734844">
      <w:pPr>
        <w:rPr>
          <w:sz w:val="36"/>
          <w:szCs w:val="36"/>
        </w:rPr>
      </w:pPr>
    </w:p>
    <w:p w:rsidR="00734844" w:rsidRDefault="001D469E">
      <w:r>
        <w:rPr>
          <w:sz w:val="36"/>
          <w:szCs w:val="36"/>
        </w:rPr>
        <w:t>Si lo comparamos con el mes de enero d</w:t>
      </w:r>
      <w:r>
        <w:rPr>
          <w:sz w:val="36"/>
          <w:szCs w:val="36"/>
        </w:rPr>
        <w:t>e 2021 (132.519 unidades) la caída fue de 5.53%.</w:t>
      </w:r>
    </w:p>
    <w:p w:rsidR="00734844" w:rsidRDefault="001D469E">
      <w:r>
        <w:rPr>
          <w:sz w:val="36"/>
          <w:szCs w:val="36"/>
        </w:rPr>
        <w:t xml:space="preserve">     </w:t>
      </w:r>
    </w:p>
    <w:p w:rsidR="00734844" w:rsidRDefault="001D469E">
      <w:pPr>
        <w:rPr>
          <w:sz w:val="36"/>
          <w:szCs w:val="36"/>
        </w:rPr>
      </w:pPr>
      <w:r>
        <w:rPr>
          <w:sz w:val="36"/>
          <w:szCs w:val="36"/>
        </w:rPr>
        <w:t>En los primeros dos meses del año se vendieron 257.708 autos usados, una baja del 7.32% con respecto a igual período de 2020 cuando se comercializaron 278.067 unidades.</w:t>
      </w:r>
    </w:p>
    <w:p w:rsidR="00734844" w:rsidRDefault="00734844">
      <w:pPr>
        <w:rPr>
          <w:sz w:val="36"/>
          <w:szCs w:val="36"/>
        </w:rPr>
      </w:pPr>
    </w:p>
    <w:p w:rsidR="00734844" w:rsidRDefault="00734844">
      <w:pPr>
        <w:rPr>
          <w:sz w:val="36"/>
          <w:szCs w:val="36"/>
        </w:rPr>
      </w:pPr>
    </w:p>
    <w:p w:rsidR="00734844" w:rsidRDefault="00734844">
      <w:pPr>
        <w:rPr>
          <w:b/>
          <w:sz w:val="36"/>
          <w:szCs w:val="36"/>
          <w:u w:val="single"/>
        </w:rPr>
      </w:pPr>
    </w:p>
    <w:p w:rsidR="00734844" w:rsidRDefault="00734844">
      <w:pPr>
        <w:rPr>
          <w:b/>
          <w:sz w:val="36"/>
          <w:szCs w:val="36"/>
          <w:u w:val="single"/>
        </w:rPr>
      </w:pPr>
    </w:p>
    <w:p w:rsidR="00734844" w:rsidRDefault="00734844">
      <w:pPr>
        <w:rPr>
          <w:b/>
          <w:sz w:val="36"/>
          <w:szCs w:val="36"/>
          <w:u w:val="single"/>
        </w:rPr>
      </w:pPr>
    </w:p>
    <w:p w:rsidR="00734844" w:rsidRDefault="001D469E">
      <w:r>
        <w:rPr>
          <w:b/>
          <w:sz w:val="36"/>
          <w:szCs w:val="36"/>
          <w:u w:val="single"/>
        </w:rPr>
        <w:t>DECLARACIONES ALBERTO PRÍNC</w:t>
      </w:r>
      <w:r>
        <w:rPr>
          <w:b/>
          <w:sz w:val="36"/>
          <w:szCs w:val="36"/>
          <w:u w:val="single"/>
        </w:rPr>
        <w:t xml:space="preserve">IPE, PRESIDENTE DE LA CCA  </w:t>
      </w:r>
      <w:r>
        <w:rPr>
          <w:b/>
          <w:sz w:val="36"/>
          <w:szCs w:val="36"/>
        </w:rPr>
        <w:t xml:space="preserve"> </w:t>
      </w:r>
    </w:p>
    <w:p w:rsidR="00734844" w:rsidRDefault="00734844">
      <w:pPr>
        <w:rPr>
          <w:sz w:val="36"/>
          <w:szCs w:val="36"/>
        </w:rPr>
      </w:pPr>
    </w:p>
    <w:p w:rsidR="00734844" w:rsidRDefault="00734844">
      <w:pPr>
        <w:rPr>
          <w:sz w:val="36"/>
          <w:szCs w:val="36"/>
        </w:rPr>
      </w:pPr>
    </w:p>
    <w:p w:rsidR="00734844" w:rsidRDefault="001D469E">
      <w:r>
        <w:rPr>
          <w:sz w:val="36"/>
          <w:szCs w:val="36"/>
        </w:rPr>
        <w:t>“Estamos en un mercado que se está reacomodando, encontrando nuevos valores de piso y techo, cotas mínimas y máximas. Hoy vamos a tener que ser más profesionales que nunca para orientar correctamente en la tasación de los veh</w:t>
      </w:r>
      <w:r>
        <w:rPr>
          <w:sz w:val="36"/>
          <w:szCs w:val="36"/>
        </w:rPr>
        <w:t>ículos a los propietarios, encontrando los valores de equilibrio que convalide el mercado, con lógica y justeza”, dijo Alberto Príncipe, presidente de la Cámara del Comercio Automotor.</w:t>
      </w:r>
    </w:p>
    <w:p w:rsidR="00734844" w:rsidRDefault="00734844">
      <w:pPr>
        <w:rPr>
          <w:sz w:val="36"/>
          <w:szCs w:val="36"/>
        </w:rPr>
      </w:pPr>
    </w:p>
    <w:p w:rsidR="00734844" w:rsidRDefault="001D469E">
      <w:pPr>
        <w:rPr>
          <w:sz w:val="36"/>
          <w:szCs w:val="36"/>
        </w:rPr>
      </w:pPr>
      <w:r>
        <w:rPr>
          <w:sz w:val="36"/>
          <w:szCs w:val="36"/>
        </w:rPr>
        <w:t xml:space="preserve">“Tal vez nuevas ecuaciones entre los 0km y los usados más jóvenes van </w:t>
      </w:r>
      <w:r>
        <w:rPr>
          <w:sz w:val="36"/>
          <w:szCs w:val="36"/>
        </w:rPr>
        <w:t>a ser necesarias para imprimirle un renovado dinamismo a un mercado en proceso de reacomodamiento. También va a tener que diferenciarse el comportamiento del mismo en los diferentes nichos, compensando la caída de algún segmento con el desarrollo de sus ec</w:t>
      </w:r>
      <w:r>
        <w:rPr>
          <w:sz w:val="36"/>
          <w:szCs w:val="36"/>
        </w:rPr>
        <w:t>onomías regionales con el crecimiento del segmento de las pick-ups y utilitarios”, expresó el directivo.</w:t>
      </w:r>
    </w:p>
    <w:p w:rsidR="00734844" w:rsidRDefault="00734844">
      <w:pPr>
        <w:rPr>
          <w:sz w:val="36"/>
          <w:szCs w:val="36"/>
        </w:rPr>
      </w:pPr>
    </w:p>
    <w:p w:rsidR="00734844" w:rsidRDefault="001D469E">
      <w:pPr>
        <w:rPr>
          <w:sz w:val="36"/>
          <w:szCs w:val="36"/>
        </w:rPr>
      </w:pPr>
      <w:r>
        <w:rPr>
          <w:sz w:val="36"/>
          <w:szCs w:val="36"/>
        </w:rPr>
        <w:t xml:space="preserve">“No debemos olvidarnos de persuadir y trabajar en conjunto con las entidades financieras para poder lograr tasas de financiación </w:t>
      </w:r>
    </w:p>
    <w:p w:rsidR="00734844" w:rsidRDefault="00734844">
      <w:pPr>
        <w:rPr>
          <w:sz w:val="36"/>
          <w:szCs w:val="36"/>
        </w:rPr>
      </w:pPr>
    </w:p>
    <w:p w:rsidR="00734844" w:rsidRDefault="00734844">
      <w:pPr>
        <w:rPr>
          <w:sz w:val="36"/>
          <w:szCs w:val="36"/>
        </w:rPr>
      </w:pPr>
    </w:p>
    <w:p w:rsidR="00734844" w:rsidRDefault="00734844">
      <w:pPr>
        <w:rPr>
          <w:sz w:val="36"/>
          <w:szCs w:val="36"/>
        </w:rPr>
      </w:pPr>
    </w:p>
    <w:p w:rsidR="00734844" w:rsidRDefault="00734844">
      <w:pPr>
        <w:rPr>
          <w:sz w:val="36"/>
          <w:szCs w:val="36"/>
        </w:rPr>
      </w:pPr>
    </w:p>
    <w:p w:rsidR="00734844" w:rsidRDefault="001D469E">
      <w:pPr>
        <w:rPr>
          <w:sz w:val="36"/>
          <w:szCs w:val="36"/>
        </w:rPr>
      </w:pPr>
      <w:r>
        <w:rPr>
          <w:sz w:val="36"/>
          <w:szCs w:val="36"/>
        </w:rPr>
        <w:t>///////</w:t>
      </w:r>
    </w:p>
    <w:p w:rsidR="00734844" w:rsidRDefault="00734844">
      <w:pPr>
        <w:rPr>
          <w:sz w:val="36"/>
          <w:szCs w:val="36"/>
        </w:rPr>
      </w:pPr>
    </w:p>
    <w:p w:rsidR="00734844" w:rsidRDefault="00734844">
      <w:pPr>
        <w:rPr>
          <w:sz w:val="36"/>
          <w:szCs w:val="36"/>
        </w:rPr>
      </w:pPr>
    </w:p>
    <w:p w:rsidR="00734844" w:rsidRDefault="001D469E">
      <w:pPr>
        <w:rPr>
          <w:sz w:val="36"/>
          <w:szCs w:val="36"/>
        </w:rPr>
      </w:pPr>
      <w:r>
        <w:rPr>
          <w:sz w:val="36"/>
          <w:szCs w:val="36"/>
        </w:rPr>
        <w:t xml:space="preserve">adecuadas y en línea para desarrollar las ventas de las unidades, “herramienta fundamental” que hoy todavía se encuentran fuera </w:t>
      </w:r>
    </w:p>
    <w:p w:rsidR="00734844" w:rsidRDefault="001D469E">
      <w:pPr>
        <w:rPr>
          <w:sz w:val="36"/>
          <w:szCs w:val="36"/>
        </w:rPr>
      </w:pPr>
      <w:r>
        <w:rPr>
          <w:sz w:val="36"/>
          <w:szCs w:val="36"/>
        </w:rPr>
        <w:t xml:space="preserve">de valores adecuados”, mencionó Príncipe. </w:t>
      </w:r>
    </w:p>
    <w:p w:rsidR="00734844" w:rsidRDefault="00734844">
      <w:pPr>
        <w:rPr>
          <w:sz w:val="36"/>
          <w:szCs w:val="36"/>
        </w:rPr>
      </w:pPr>
    </w:p>
    <w:p w:rsidR="00734844" w:rsidRDefault="001D469E">
      <w:pPr>
        <w:rPr>
          <w:sz w:val="36"/>
          <w:szCs w:val="36"/>
        </w:rPr>
      </w:pPr>
      <w:r>
        <w:rPr>
          <w:sz w:val="36"/>
          <w:szCs w:val="36"/>
        </w:rPr>
        <w:t>“Como complemento es importante destacar también que debemos esperar al segundo sem</w:t>
      </w:r>
      <w:r>
        <w:rPr>
          <w:sz w:val="36"/>
          <w:szCs w:val="36"/>
        </w:rPr>
        <w:t>estre, período durante el cual esperamos que se vaya normalizado, en forma absoluta, el problema de la falta de stocks de las unidades que están en proceso de fabricación y/o de llegada al país”, dijo.</w:t>
      </w:r>
    </w:p>
    <w:p w:rsidR="00734844" w:rsidRDefault="00734844">
      <w:pPr>
        <w:rPr>
          <w:sz w:val="36"/>
          <w:szCs w:val="36"/>
        </w:rPr>
      </w:pPr>
    </w:p>
    <w:p w:rsidR="00734844" w:rsidRDefault="001D469E">
      <w:pPr>
        <w:rPr>
          <w:sz w:val="36"/>
          <w:szCs w:val="36"/>
        </w:rPr>
      </w:pPr>
      <w:r>
        <w:rPr>
          <w:sz w:val="36"/>
          <w:szCs w:val="36"/>
        </w:rPr>
        <w:t>“Debemos observar como impactan en la economía diaria</w:t>
      </w:r>
      <w:r>
        <w:rPr>
          <w:sz w:val="36"/>
          <w:szCs w:val="36"/>
        </w:rPr>
        <w:t xml:space="preserve"> de los argentinos los diferentes incrementos de los otros costos que debemos afrontar, llámese aumento de tarifas, de combustible y de su impacto en la economía en general”, expresó .</w:t>
      </w:r>
    </w:p>
    <w:p w:rsidR="00734844" w:rsidRDefault="00734844">
      <w:pPr>
        <w:spacing w:after="140"/>
        <w:rPr>
          <w:sz w:val="36"/>
          <w:szCs w:val="36"/>
        </w:rPr>
      </w:pPr>
    </w:p>
    <w:p w:rsidR="00734844" w:rsidRDefault="001D469E">
      <w:pPr>
        <w:spacing w:after="140"/>
        <w:rPr>
          <w:sz w:val="36"/>
          <w:szCs w:val="36"/>
        </w:rPr>
      </w:pPr>
      <w:r>
        <w:rPr>
          <w:sz w:val="36"/>
          <w:szCs w:val="36"/>
        </w:rPr>
        <w:t>“Con cautela, sin perder el día a día, lejos estamos de encontrar luce</w:t>
      </w:r>
      <w:r>
        <w:rPr>
          <w:sz w:val="36"/>
          <w:szCs w:val="36"/>
        </w:rPr>
        <w:t xml:space="preserve">s de alarma que anuncien caídas abruptas, hasta ahora así lo van demostrando los guarismos del primer bimestre. Debemos observar los cambios con atención porque seguramente van a poner a prueba nuestra capacidad de adaptación, “arte en el cual </w:t>
      </w:r>
      <w:r>
        <w:rPr>
          <w:sz w:val="36"/>
          <w:szCs w:val="36"/>
        </w:rPr>
        <w:lastRenderedPageBreak/>
        <w:t>somos, en ge</w:t>
      </w:r>
      <w:r>
        <w:rPr>
          <w:sz w:val="36"/>
          <w:szCs w:val="36"/>
        </w:rPr>
        <w:t xml:space="preserve">neral, bastante duchos”, dados los ida y vuelta que hemos vivido en los últimos 50 años en este sector. Lo que </w:t>
      </w:r>
    </w:p>
    <w:p w:rsidR="00734844" w:rsidRDefault="00734844">
      <w:pPr>
        <w:spacing w:after="140"/>
        <w:rPr>
          <w:sz w:val="36"/>
          <w:szCs w:val="36"/>
        </w:rPr>
      </w:pPr>
    </w:p>
    <w:p w:rsidR="00734844" w:rsidRDefault="001D469E">
      <w:pPr>
        <w:spacing w:after="140"/>
        <w:rPr>
          <w:sz w:val="36"/>
          <w:szCs w:val="36"/>
        </w:rPr>
      </w:pPr>
      <w:r>
        <w:rPr>
          <w:sz w:val="36"/>
          <w:szCs w:val="36"/>
        </w:rPr>
        <w:t>/////</w:t>
      </w:r>
    </w:p>
    <w:p w:rsidR="00734844" w:rsidRDefault="00734844">
      <w:pPr>
        <w:spacing w:after="140"/>
        <w:rPr>
          <w:sz w:val="36"/>
          <w:szCs w:val="36"/>
        </w:rPr>
      </w:pPr>
    </w:p>
    <w:p w:rsidR="00734844" w:rsidRDefault="001D469E">
      <w:pPr>
        <w:spacing w:after="140"/>
        <w:rPr>
          <w:sz w:val="36"/>
          <w:szCs w:val="36"/>
        </w:rPr>
      </w:pPr>
      <w:r>
        <w:rPr>
          <w:sz w:val="36"/>
          <w:szCs w:val="36"/>
        </w:rPr>
        <w:t>estamos viendo, en definitiva, nos abre una luz de esperanza, que podamos esperar un segundo semestre mejor, más ordenado, y esperamos q</w:t>
      </w:r>
      <w:r>
        <w:rPr>
          <w:sz w:val="36"/>
          <w:szCs w:val="36"/>
        </w:rPr>
        <w:t xml:space="preserve">ue don un panorama un poco más claro volvamos a la senda del crecimiento; tal vez no espectacular, pero si sostenible a lo largo del tiempo”, finalizó Príncipe. </w:t>
      </w:r>
    </w:p>
    <w:p w:rsidR="00734844" w:rsidRDefault="00734844">
      <w:pPr>
        <w:spacing w:after="140"/>
        <w:rPr>
          <w:sz w:val="36"/>
          <w:szCs w:val="36"/>
        </w:rPr>
      </w:pPr>
    </w:p>
    <w:p w:rsidR="00734844" w:rsidRDefault="001D469E">
      <w:pPr>
        <w:rPr>
          <w:u w:val="single"/>
        </w:rPr>
      </w:pPr>
      <w:r>
        <w:rPr>
          <w:b/>
          <w:bCs/>
          <w:sz w:val="40"/>
          <w:szCs w:val="40"/>
          <w:u w:val="single"/>
        </w:rPr>
        <w:t>Ranking 10 usados más vendidos en Argentina durante febrero 2021</w:t>
      </w:r>
    </w:p>
    <w:p w:rsidR="00734844" w:rsidRDefault="00734844">
      <w:pPr>
        <w:rPr>
          <w:b/>
          <w:bCs/>
          <w:sz w:val="40"/>
          <w:szCs w:val="40"/>
          <w:lang w:val="en-US"/>
        </w:rPr>
      </w:pPr>
    </w:p>
    <w:p w:rsidR="00734844" w:rsidRDefault="001D46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1-VW Gol y Trend: 8.718</w:t>
      </w:r>
    </w:p>
    <w:p w:rsidR="00734844" w:rsidRDefault="001D46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2-Chev. Corsa y Classic: 5.046</w:t>
      </w:r>
    </w:p>
    <w:p w:rsidR="00734844" w:rsidRDefault="001D46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3-Renault Clio: 3.543</w:t>
      </w:r>
    </w:p>
    <w:p w:rsidR="00734844" w:rsidRDefault="001D46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4-Toyota Hilux: 3.336</w:t>
      </w:r>
    </w:p>
    <w:p w:rsidR="00734844" w:rsidRDefault="001D46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5-Fiat Palio: 3.157</w:t>
      </w:r>
    </w:p>
    <w:p w:rsidR="00734844" w:rsidRDefault="001D46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6-Ford Fiesta: 2.859</w:t>
      </w:r>
    </w:p>
    <w:p w:rsidR="00734844" w:rsidRDefault="001D46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7-Ford Ka: 2.618</w:t>
      </w:r>
    </w:p>
    <w:p w:rsidR="00734844" w:rsidRDefault="001D46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8-Ford Ranger: 2.553</w:t>
      </w:r>
    </w:p>
    <w:p w:rsidR="00734844" w:rsidRDefault="001D46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9-Ford EcoSport: 2.520</w:t>
      </w:r>
    </w:p>
    <w:p w:rsidR="00734844" w:rsidRDefault="001D469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10-Ford Focus: 2.459</w:t>
      </w:r>
    </w:p>
    <w:p w:rsidR="00734844" w:rsidRDefault="00734844">
      <w:pPr>
        <w:rPr>
          <w:sz w:val="40"/>
          <w:szCs w:val="40"/>
          <w:lang w:val="en-US"/>
        </w:rPr>
      </w:pPr>
    </w:p>
    <w:p w:rsidR="00734844" w:rsidRDefault="00734844">
      <w:pPr>
        <w:rPr>
          <w:sz w:val="40"/>
          <w:szCs w:val="40"/>
          <w:lang w:val="en-US"/>
        </w:rPr>
      </w:pPr>
    </w:p>
    <w:p w:rsidR="00734844" w:rsidRDefault="001D469E">
      <w:r>
        <w:rPr>
          <w:b/>
          <w:bCs/>
          <w:sz w:val="40"/>
          <w:szCs w:val="40"/>
          <w:u w:val="single"/>
          <w:lang w:val="es-AR"/>
        </w:rPr>
        <w:t xml:space="preserve">Las provincias que más bajaron durante enero-febrero </w:t>
      </w:r>
      <w:r>
        <w:rPr>
          <w:b/>
          <w:bCs/>
          <w:sz w:val="40"/>
          <w:szCs w:val="40"/>
          <w:u w:val="single"/>
          <w:lang w:val="es-AR"/>
        </w:rPr>
        <w:t>2021</w:t>
      </w:r>
    </w:p>
    <w:p w:rsidR="00734844" w:rsidRDefault="00734844">
      <w:pPr>
        <w:rPr>
          <w:sz w:val="40"/>
          <w:szCs w:val="40"/>
          <w:lang w:val="es-AR"/>
        </w:rPr>
      </w:pP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Formosa: -39,59%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Catamarca: 25,17%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Santa Cruz: 21,82%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Neuquén: 16,68%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Rio Negro: 16,13%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Tucumán: 15,14%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 Juan: 13,70%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Jujuy: 13,13%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Corrientes: 13%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Misiones: 12,27%</w:t>
      </w:r>
    </w:p>
    <w:p w:rsidR="00734844" w:rsidRDefault="00734844">
      <w:pPr>
        <w:rPr>
          <w:sz w:val="40"/>
          <w:szCs w:val="40"/>
          <w:lang w:val="es-AR"/>
        </w:rPr>
      </w:pPr>
    </w:p>
    <w:p w:rsidR="00734844" w:rsidRDefault="001D469E">
      <w:pPr>
        <w:rPr>
          <w:b/>
          <w:bCs/>
          <w:u w:val="single"/>
        </w:rPr>
      </w:pPr>
      <w:r>
        <w:rPr>
          <w:b/>
          <w:bCs/>
          <w:sz w:val="40"/>
          <w:szCs w:val="40"/>
          <w:u w:val="single"/>
          <w:lang w:val="es-AR"/>
        </w:rPr>
        <w:t>Las provincias que menos bajaron durante enero-febrero 2021</w:t>
      </w:r>
    </w:p>
    <w:p w:rsidR="00734844" w:rsidRDefault="00734844">
      <w:pPr>
        <w:rPr>
          <w:sz w:val="40"/>
          <w:szCs w:val="40"/>
          <w:lang w:val="es-AR"/>
        </w:rPr>
      </w:pP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 Luis: 10%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Salta:</w:t>
      </w:r>
      <w:r>
        <w:rPr>
          <w:sz w:val="40"/>
          <w:szCs w:val="40"/>
          <w:lang w:val="es-AR"/>
        </w:rPr>
        <w:t xml:space="preserve"> 9,29%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Mendoza: 9,08%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Chubut: 8,64%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Sgo del Estero: 8,14%</w:t>
      </w:r>
    </w:p>
    <w:p w:rsidR="00734844" w:rsidRDefault="00734844">
      <w:pPr>
        <w:rPr>
          <w:sz w:val="40"/>
          <w:szCs w:val="40"/>
          <w:lang w:val="es-AR"/>
        </w:rPr>
      </w:pP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//////</w:t>
      </w:r>
    </w:p>
    <w:p w:rsidR="00734844" w:rsidRDefault="00734844">
      <w:pPr>
        <w:rPr>
          <w:sz w:val="40"/>
          <w:szCs w:val="40"/>
          <w:lang w:val="es-AR"/>
        </w:rPr>
      </w:pP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La Rioja: 7,17%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Santa Fe: 7,14%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Córdoba: 6,79%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Chaco: 6,23%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La Pampa: 6,11%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Pcia. Bs.As.: 5,75%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Entre Ríos: 5,41%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Tierra del Fuego: 0,66%</w:t>
      </w:r>
    </w:p>
    <w:p w:rsidR="00734844" w:rsidRDefault="001D469E">
      <w:pPr>
        <w:rPr>
          <w:sz w:val="40"/>
          <w:szCs w:val="40"/>
          <w:lang w:val="es-AR"/>
        </w:rPr>
      </w:pPr>
      <w:r>
        <w:rPr>
          <w:sz w:val="40"/>
          <w:szCs w:val="40"/>
          <w:lang w:val="es-AR"/>
        </w:rPr>
        <w:t>CABA: 0,25%</w:t>
      </w:r>
    </w:p>
    <w:p w:rsidR="00734844" w:rsidRDefault="00734844">
      <w:pPr>
        <w:rPr>
          <w:sz w:val="40"/>
          <w:szCs w:val="40"/>
          <w:lang w:val="es-AR"/>
        </w:rPr>
      </w:pPr>
    </w:p>
    <w:p w:rsidR="00734844" w:rsidRDefault="00734844">
      <w:pPr>
        <w:rPr>
          <w:sz w:val="40"/>
          <w:szCs w:val="40"/>
          <w:lang w:val="es-AR"/>
        </w:rPr>
      </w:pPr>
    </w:p>
    <w:p w:rsidR="00734844" w:rsidRDefault="00734844">
      <w:pPr>
        <w:rPr>
          <w:sz w:val="40"/>
          <w:szCs w:val="40"/>
          <w:lang w:val="es-AR"/>
        </w:rPr>
      </w:pPr>
    </w:p>
    <w:p w:rsidR="00734844" w:rsidRDefault="001D469E">
      <w:pPr>
        <w:rPr>
          <w:b/>
          <w:bCs/>
        </w:rPr>
      </w:pPr>
      <w:r>
        <w:rPr>
          <w:b/>
          <w:bCs/>
          <w:sz w:val="40"/>
          <w:szCs w:val="40"/>
          <w:lang w:val="es-AR"/>
        </w:rPr>
        <w:t>Capital Federal, marzo 2021</w:t>
      </w:r>
    </w:p>
    <w:p w:rsidR="00734844" w:rsidRDefault="00734844">
      <w:pPr>
        <w:rPr>
          <w:sz w:val="40"/>
          <w:szCs w:val="40"/>
          <w:lang w:val="es-AR"/>
        </w:rPr>
      </w:pPr>
    </w:p>
    <w:p w:rsidR="00734844" w:rsidRDefault="00734844">
      <w:pPr>
        <w:rPr>
          <w:sz w:val="40"/>
          <w:szCs w:val="40"/>
          <w:lang w:val="es-AR"/>
        </w:rPr>
      </w:pPr>
    </w:p>
    <w:p w:rsidR="00734844" w:rsidRDefault="00734844">
      <w:pPr>
        <w:rPr>
          <w:sz w:val="40"/>
          <w:szCs w:val="40"/>
          <w:lang w:val="es-AR"/>
        </w:rPr>
      </w:pPr>
    </w:p>
    <w:p w:rsidR="00734844" w:rsidRDefault="00734844">
      <w:pPr>
        <w:rPr>
          <w:sz w:val="40"/>
          <w:szCs w:val="40"/>
          <w:lang w:val="es-AR"/>
        </w:rPr>
      </w:pPr>
    </w:p>
    <w:sectPr w:rsidR="00734844">
      <w:headerReference w:type="default" r:id="rId8"/>
      <w:footerReference w:type="default" r:id="rId9"/>
      <w:pgSz w:w="12240" w:h="15840"/>
      <w:pgMar w:top="777" w:right="1418" w:bottom="1559" w:left="1418" w:header="720" w:footer="129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9E" w:rsidRDefault="001D469E">
      <w:r>
        <w:separator/>
      </w:r>
    </w:p>
  </w:endnote>
  <w:endnote w:type="continuationSeparator" w:id="0">
    <w:p w:rsidR="001D469E" w:rsidRDefault="001D4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44" w:rsidRDefault="001D469E">
    <w:pPr>
      <w:spacing w:before="120"/>
      <w:jc w:val="center"/>
      <w:rPr>
        <w:sz w:val="20"/>
      </w:rPr>
    </w:pPr>
    <w:r>
      <w:rPr>
        <w:sz w:val="20"/>
      </w:rPr>
      <w:t>SOLER 3909 - (1425)  BUENOS AIRES   TEL. 4824-7272/9505/9498/9489   FAX. 4822-7453  4823-1837</w:t>
    </w:r>
  </w:p>
  <w:p w:rsidR="00734844" w:rsidRDefault="001D469E">
    <w:pPr>
      <w:pStyle w:val="Piedepgina"/>
    </w:pPr>
    <w:r>
      <w:tab/>
      <w:t>http://www.cca.org.ar---- e-mail: cca@cca.org.ar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9E" w:rsidRDefault="001D469E">
      <w:r>
        <w:separator/>
      </w:r>
    </w:p>
  </w:footnote>
  <w:footnote w:type="continuationSeparator" w:id="0">
    <w:p w:rsidR="001D469E" w:rsidRDefault="001D4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844" w:rsidRDefault="001D469E">
    <w:pPr>
      <w:pStyle w:val="Epgrafe"/>
      <w:rPr>
        <w:lang w:val="es-AR" w:eastAsia="es-AR"/>
      </w:rPr>
    </w:pPr>
    <w:r>
      <w:rPr>
        <w:noProof/>
        <w:lang w:val="es-AR" w:eastAsia="es-AR"/>
      </w:rPr>
      <w:drawing>
        <wp:anchor distT="0" distB="0" distL="114935" distR="114935" simplePos="0" relativeHeight="7" behindDoc="1" locked="0" layoutInCell="0" allowOverlap="1">
          <wp:simplePos x="0" y="0"/>
          <wp:positionH relativeFrom="column">
            <wp:posOffset>2303780</wp:posOffset>
          </wp:positionH>
          <wp:positionV relativeFrom="paragraph">
            <wp:posOffset>7620</wp:posOffset>
          </wp:positionV>
          <wp:extent cx="1120140" cy="1150620"/>
          <wp:effectExtent l="0" t="0" r="0" b="0"/>
          <wp:wrapTopAndBottom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7" t="-75" r="-77" b="-75"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1150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4844" w:rsidRDefault="00734844">
    <w:pPr>
      <w:pStyle w:val="Epgrafe"/>
    </w:pPr>
  </w:p>
  <w:p w:rsidR="00734844" w:rsidRDefault="00734844">
    <w:pPr>
      <w:pStyle w:val="Epgrafe"/>
    </w:pPr>
  </w:p>
  <w:p w:rsidR="00734844" w:rsidRDefault="00734844">
    <w:pPr>
      <w:pStyle w:val="Epgrafe"/>
    </w:pPr>
  </w:p>
  <w:p w:rsidR="00734844" w:rsidRDefault="00734844">
    <w:pPr>
      <w:pStyle w:val="Epgrafe"/>
    </w:pPr>
  </w:p>
  <w:p w:rsidR="00734844" w:rsidRDefault="00734844">
    <w:pPr>
      <w:pStyle w:val="Epgrafe"/>
    </w:pPr>
  </w:p>
  <w:p w:rsidR="00734844" w:rsidRDefault="00734844">
    <w:pPr>
      <w:pStyle w:val="Epgrafe"/>
    </w:pPr>
  </w:p>
  <w:p w:rsidR="00734844" w:rsidRDefault="001D469E">
    <w:pPr>
      <w:pStyle w:val="Epgrafe"/>
    </w:pPr>
    <w:r>
      <w:t>CAMARA DEL COMERCIO AUTOMOTOR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12EB"/>
    <w:multiLevelType w:val="multilevel"/>
    <w:tmpl w:val="F0FCB16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4844"/>
    <w:rsid w:val="00012186"/>
    <w:rsid w:val="001D469E"/>
    <w:rsid w:val="0073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s-ES_tradnl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  <w:i w:val="0"/>
      <w:u w:val="none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St6z0">
    <w:name w:val="WW8NumSt6z0"/>
    <w:qFormat/>
    <w:rPr>
      <w:rFonts w:ascii="Symbol" w:hAnsi="Symbol" w:cs="Symbol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Destacado">
    <w:name w:val="Destacado"/>
    <w:qFormat/>
    <w:rPr>
      <w:i/>
    </w:rPr>
  </w:style>
  <w:style w:type="character" w:customStyle="1" w:styleId="Muydestacado">
    <w:name w:val="Muy destacado"/>
    <w:qFormat/>
    <w:rPr>
      <w:b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next w:val="Normal"/>
    <w:qFormat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Pr>
      <w:sz w:val="28"/>
      <w:lang w:val="es-MX"/>
    </w:rPr>
  </w:style>
  <w:style w:type="paragraph" w:styleId="Textoindependiente3">
    <w:name w:val="Body Text 3"/>
    <w:basedOn w:val="Normal"/>
    <w:qFormat/>
    <w:rPr>
      <w:b/>
      <w:lang w:val="es-MX"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Cs w:val="20"/>
      <w:lang w:val="es-ES_tradnl"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sz w:val="28"/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8"/>
      <w:lang w:val="es-MX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sz w:val="32"/>
      <w:lang w:val="es-MX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8"/>
      <w:u w:val="single"/>
      <w:lang w:val="es-MX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lang w:val="es-MX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i/>
      <w:sz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b/>
    </w:rPr>
  </w:style>
  <w:style w:type="character" w:customStyle="1" w:styleId="WW8Num4z0">
    <w:name w:val="WW8Num4z0"/>
    <w:qFormat/>
    <w:rPr>
      <w:b/>
      <w:i w:val="0"/>
      <w:u w:val="none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St6z0">
    <w:name w:val="WW8NumSt6z0"/>
    <w:qFormat/>
    <w:rPr>
      <w:rFonts w:ascii="Symbol" w:hAnsi="Symbol" w:cs="Symbol"/>
    </w:rPr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Destacado">
    <w:name w:val="Destacado"/>
    <w:qFormat/>
    <w:rPr>
      <w:i/>
    </w:rPr>
  </w:style>
  <w:style w:type="character" w:customStyle="1" w:styleId="Muydestacado">
    <w:name w:val="Muy destacado"/>
    <w:qFormat/>
    <w:rPr>
      <w:b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Arial"/>
    </w:rPr>
  </w:style>
  <w:style w:type="paragraph" w:styleId="Epgrafe">
    <w:name w:val="caption"/>
    <w:basedOn w:val="Normal"/>
    <w:next w:val="Normal"/>
    <w:qFormat/>
    <w:pPr>
      <w:jc w:val="center"/>
    </w:pPr>
    <w:rPr>
      <w:b/>
      <w:spacing w:val="40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1416" w:firstLine="708"/>
      <w:jc w:val="both"/>
    </w:pPr>
    <w:rPr>
      <w:sz w:val="28"/>
      <w:lang w:val="es-AR"/>
    </w:rPr>
  </w:style>
  <w:style w:type="paragraph" w:styleId="Textoindependiente2">
    <w:name w:val="Body Text 2"/>
    <w:basedOn w:val="Normal"/>
    <w:qFormat/>
    <w:rPr>
      <w:sz w:val="28"/>
      <w:lang w:val="es-MX"/>
    </w:rPr>
  </w:style>
  <w:style w:type="paragraph" w:styleId="Textoindependiente3">
    <w:name w:val="Body Text 3"/>
    <w:basedOn w:val="Normal"/>
    <w:qFormat/>
    <w:rPr>
      <w:b/>
      <w:lang w:val="es-MX"/>
    </w:rPr>
  </w:style>
  <w:style w:type="paragraph" w:styleId="NormalWeb">
    <w:name w:val="Normal (Web)"/>
    <w:basedOn w:val="Normal"/>
    <w:qFormat/>
    <w:pPr>
      <w:spacing w:before="100" w:after="100"/>
    </w:pPr>
    <w:rPr>
      <w:szCs w:val="24"/>
      <w:lang w:val="es-ES"/>
    </w:rPr>
  </w:style>
  <w:style w:type="paragraph" w:customStyle="1" w:styleId="yiv8714062126m294091323008971570ydp9f750b63msonormal">
    <w:name w:val="yiv8714062126m_294091323008971570ydp9f750b63msonormal"/>
    <w:basedOn w:val="Normal"/>
    <w:qFormat/>
    <w:pPr>
      <w:spacing w:before="100" w:after="100"/>
    </w:pPr>
    <w:rPr>
      <w:szCs w:val="24"/>
      <w:lang w:val="es-E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609</Words>
  <Characters>3351</Characters>
  <Application>Microsoft Office Word</Application>
  <DocSecurity>0</DocSecurity>
  <Lines>27</Lines>
  <Paragraphs>7</Paragraphs>
  <ScaleCrop>false</ScaleCrop>
  <Company>HP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</dc:creator>
  <cp:lastModifiedBy>Javi Frontera</cp:lastModifiedBy>
  <cp:revision>2</cp:revision>
  <cp:lastPrinted>2020-01-03T11:55:00Z</cp:lastPrinted>
  <dcterms:created xsi:type="dcterms:W3CDTF">2021-03-05T17:18:00Z</dcterms:created>
  <dcterms:modified xsi:type="dcterms:W3CDTF">2021-03-05T17:18:00Z</dcterms:modified>
  <dc:language>es-AR</dc:language>
</cp:coreProperties>
</file>