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2FB6" w:rsidRDefault="00A56BF1" w:rsidP="007E7FDC">
      <w:pPr>
        <w:spacing w:after="240"/>
        <w:jc w:val="center"/>
        <w:rPr>
          <w:color w:val="000000" w:themeColor="text1"/>
        </w:rPr>
      </w:pPr>
      <w:r w:rsidRPr="00CB2FB6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CB2FB6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CB2FB6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CB2FB6">
              <w:rPr>
                <w:b/>
                <w:color w:val="000000" w:themeColor="text1"/>
              </w:rPr>
              <w:t>Asesoría</w:t>
            </w:r>
          </w:p>
        </w:tc>
      </w:tr>
      <w:tr w:rsidR="00DC7889" w:rsidRPr="00CB2FB6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A5213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Circular Informativa</w:t>
            </w:r>
          </w:p>
          <w:p w:rsidR="00DC7889" w:rsidRPr="00A52131" w:rsidRDefault="00DC7889" w:rsidP="002B1DF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 xml:space="preserve">N° </w:t>
            </w:r>
            <w:r w:rsidR="005B3C23" w:rsidRPr="00A52131">
              <w:rPr>
                <w:b/>
                <w:color w:val="000000" w:themeColor="text1"/>
                <w:sz w:val="18"/>
                <w:szCs w:val="18"/>
              </w:rPr>
              <w:t>103</w:t>
            </w:r>
            <w:r w:rsidRPr="00A52131">
              <w:rPr>
                <w:b/>
                <w:color w:val="000000" w:themeColor="text1"/>
                <w:sz w:val="18"/>
                <w:szCs w:val="18"/>
              </w:rPr>
              <w:t>-2019</w:t>
            </w:r>
          </w:p>
        </w:tc>
        <w:tc>
          <w:tcPr>
            <w:tcW w:w="1418" w:type="dxa"/>
          </w:tcPr>
          <w:p w:rsidR="00DC7889" w:rsidRPr="00A5213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Área</w:t>
            </w:r>
          </w:p>
          <w:p w:rsidR="00DC7889" w:rsidRPr="00A52131" w:rsidRDefault="005B3C23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LABORAL</w:t>
            </w:r>
          </w:p>
        </w:tc>
        <w:tc>
          <w:tcPr>
            <w:tcW w:w="7456" w:type="dxa"/>
            <w:gridSpan w:val="3"/>
          </w:tcPr>
          <w:p w:rsidR="000B71BD" w:rsidRPr="00A5213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 xml:space="preserve">Tema </w:t>
            </w:r>
          </w:p>
          <w:p w:rsidR="00DC7889" w:rsidRPr="00A52131" w:rsidRDefault="002D5DB5" w:rsidP="007668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bCs/>
                <w:color w:val="000000"/>
                <w:sz w:val="18"/>
                <w:szCs w:val="18"/>
              </w:rPr>
              <w:t>ASIGNACIONES FAMILIARES: SE ESTABLECE UN NUEVO MARCO REGULATORIO</w:t>
            </w:r>
          </w:p>
        </w:tc>
      </w:tr>
      <w:tr w:rsidR="00DC7889" w:rsidRPr="00CB2FB6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A52131" w:rsidRDefault="00DC7889" w:rsidP="007E7F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Norma</w:t>
            </w:r>
            <w:r w:rsidR="00AF3AC1" w:rsidRPr="00A521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C7889" w:rsidRPr="00A52131" w:rsidRDefault="005B3C23" w:rsidP="00A521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2131">
              <w:rPr>
                <w:b/>
                <w:bCs/>
                <w:color w:val="000000"/>
                <w:sz w:val="18"/>
                <w:szCs w:val="18"/>
              </w:rPr>
              <w:t>(SSS) </w:t>
            </w:r>
            <w:r w:rsidRPr="00A52131">
              <w:rPr>
                <w:rStyle w:val="highlight"/>
                <w:b/>
                <w:bCs/>
                <w:color w:val="000000"/>
                <w:sz w:val="18"/>
                <w:szCs w:val="18"/>
                <w:shd w:val="clear" w:color="auto" w:fill="FFFF88"/>
              </w:rPr>
              <w:t>11/2019</w:t>
            </w:r>
          </w:p>
        </w:tc>
        <w:tc>
          <w:tcPr>
            <w:tcW w:w="2384" w:type="dxa"/>
          </w:tcPr>
          <w:p w:rsidR="00DC7889" w:rsidRPr="00A5213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Publicación</w:t>
            </w:r>
          </w:p>
          <w:p w:rsidR="00DC7889" w:rsidRPr="00A52131" w:rsidRDefault="00A52131" w:rsidP="00A5213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B.O.</w:t>
            </w:r>
          </w:p>
        </w:tc>
        <w:tc>
          <w:tcPr>
            <w:tcW w:w="1725" w:type="dxa"/>
          </w:tcPr>
          <w:p w:rsidR="00DC7889" w:rsidRPr="00A5213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  <w:p w:rsidR="00DC7889" w:rsidRPr="00A52131" w:rsidRDefault="002B1DF2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2131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DC7889" w:rsidRPr="00A52131">
              <w:rPr>
                <w:b/>
                <w:color w:val="000000" w:themeColor="text1"/>
                <w:sz w:val="18"/>
                <w:szCs w:val="18"/>
              </w:rPr>
              <w:t>/0</w:t>
            </w:r>
            <w:r w:rsidRPr="00A52131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DC7889" w:rsidRPr="00A52131">
              <w:rPr>
                <w:b/>
                <w:color w:val="000000" w:themeColor="text1"/>
                <w:sz w:val="18"/>
                <w:szCs w:val="18"/>
              </w:rPr>
              <w:t>/2019</w:t>
            </w:r>
          </w:p>
        </w:tc>
      </w:tr>
    </w:tbl>
    <w:p w:rsidR="00CB2FB6" w:rsidRDefault="00CB2FB6" w:rsidP="00CB2FB6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rFonts w:ascii="Verdana" w:hAnsi="Verdana"/>
          <w:b/>
          <w:bCs/>
          <w:color w:val="000000"/>
          <w:sz w:val="16"/>
          <w:szCs w:val="16"/>
          <w:lang w:val="es-ES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 1 -</w:t>
      </w:r>
      <w:r w:rsidRPr="002D5DB5">
        <w:rPr>
          <w:color w:val="000000" w:themeColor="text1"/>
          <w:sz w:val="20"/>
          <w:szCs w:val="20"/>
        </w:rPr>
        <w:t> Apruébanse las normas complementarias, aclaratorias y de aplicación del régimen de asignaciones familiares instituido por la </w:t>
      </w:r>
      <w:r w:rsidRPr="002D5DB5">
        <w:rPr>
          <w:rStyle w:val="hipervnculo"/>
          <w:color w:val="000000" w:themeColor="text1"/>
          <w:sz w:val="20"/>
          <w:szCs w:val="20"/>
        </w:rPr>
        <w:t>ley 24714</w:t>
      </w:r>
      <w:r w:rsidRPr="002D5DB5">
        <w:rPr>
          <w:color w:val="000000" w:themeColor="text1"/>
          <w:sz w:val="20"/>
          <w:szCs w:val="20"/>
        </w:rPr>
        <w:t> y sus modificatorias, que como </w:t>
      </w:r>
      <w:r w:rsidRPr="002D5DB5">
        <w:rPr>
          <w:rStyle w:val="hipervnculo"/>
          <w:color w:val="000000" w:themeColor="text1"/>
          <w:sz w:val="20"/>
          <w:szCs w:val="20"/>
        </w:rPr>
        <w:t>Anexo</w:t>
      </w:r>
      <w:r w:rsidRPr="002D5DB5">
        <w:rPr>
          <w:color w:val="000000" w:themeColor="text1"/>
          <w:sz w:val="20"/>
          <w:szCs w:val="20"/>
        </w:rPr>
        <w:t> forma parte integrante de la presente resolución.</w:t>
      </w:r>
    </w:p>
    <w:p w:rsid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 2 -</w:t>
      </w:r>
      <w:r w:rsidRPr="002D5DB5">
        <w:rPr>
          <w:color w:val="000000" w:themeColor="text1"/>
          <w:sz w:val="20"/>
          <w:szCs w:val="20"/>
        </w:rPr>
        <w:t> Abrógase la </w:t>
      </w:r>
      <w:r w:rsidRPr="002D5DB5">
        <w:rPr>
          <w:rStyle w:val="hipervnculo"/>
          <w:color w:val="000000" w:themeColor="text1"/>
          <w:sz w:val="20"/>
          <w:szCs w:val="20"/>
        </w:rPr>
        <w:t>resolución de la Secretaría de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Seguridad</w:t>
      </w:r>
      <w:r w:rsidRPr="002D5DB5">
        <w:rPr>
          <w:rStyle w:val="hipervnculo"/>
          <w:color w:val="000000" w:themeColor="text1"/>
          <w:sz w:val="20"/>
          <w:szCs w:val="20"/>
        </w:rPr>
        <w:t>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Social</w:t>
      </w:r>
      <w:r w:rsidRPr="002D5DB5">
        <w:rPr>
          <w:rStyle w:val="hipervnculo"/>
          <w:color w:val="000000" w:themeColor="text1"/>
          <w:sz w:val="20"/>
          <w:szCs w:val="20"/>
        </w:rPr>
        <w:t> 14</w:t>
      </w:r>
      <w:r w:rsidRPr="002D5DB5">
        <w:rPr>
          <w:color w:val="000000" w:themeColor="text1"/>
          <w:sz w:val="20"/>
          <w:szCs w:val="20"/>
        </w:rPr>
        <w:t> de fecha 30 de julio de 2002, sus modificatorias y complementarias y toda otra norma que se oponga a lo dispuesto en la presente.</w:t>
      </w:r>
    </w:p>
    <w:p w:rsid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 3 -</w:t>
      </w:r>
      <w:r w:rsidRPr="002D5DB5">
        <w:rPr>
          <w:color w:val="000000" w:themeColor="text1"/>
          <w:sz w:val="20"/>
          <w:szCs w:val="20"/>
        </w:rPr>
        <w:t> Instrúyese a la Administración Nacional de la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Seguridad</w:t>
      </w:r>
      <w:r w:rsidRPr="002D5DB5">
        <w:rPr>
          <w:color w:val="000000" w:themeColor="text1"/>
          <w:sz w:val="20"/>
          <w:szCs w:val="20"/>
        </w:rPr>
        <w:t>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Social</w:t>
      </w:r>
      <w:r w:rsidRPr="002D5DB5">
        <w:rPr>
          <w:color w:val="000000" w:themeColor="text1"/>
          <w:sz w:val="20"/>
          <w:szCs w:val="20"/>
        </w:rPr>
        <w:t> (ANSeS), a través de las áreas pertinentes, a revisar la normativa dictada en ejercicio de sus competencias para adecuarla a lo dispuesto por la presente resolución.</w:t>
      </w:r>
    </w:p>
    <w:p w:rsid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 4 -</w:t>
      </w:r>
      <w:r w:rsidRPr="002D5DB5">
        <w:rPr>
          <w:color w:val="000000" w:themeColor="text1"/>
          <w:sz w:val="20"/>
          <w:szCs w:val="20"/>
        </w:rPr>
        <w:t> Facúltase a la Administración Nacional de la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Seguridad</w:t>
      </w:r>
      <w:r w:rsidRPr="002D5DB5">
        <w:rPr>
          <w:color w:val="000000" w:themeColor="text1"/>
          <w:sz w:val="20"/>
          <w:szCs w:val="20"/>
        </w:rPr>
        <w:t> </w:t>
      </w:r>
      <w:r w:rsidRPr="002D5DB5">
        <w:rPr>
          <w:rStyle w:val="highlight"/>
          <w:color w:val="000000" w:themeColor="text1"/>
          <w:sz w:val="20"/>
          <w:szCs w:val="20"/>
          <w:shd w:val="clear" w:color="auto" w:fill="FFFF88"/>
        </w:rPr>
        <w:t>Social</w:t>
      </w:r>
      <w:r w:rsidRPr="002D5DB5">
        <w:rPr>
          <w:color w:val="000000" w:themeColor="text1"/>
          <w:sz w:val="20"/>
          <w:szCs w:val="20"/>
        </w:rPr>
        <w:t> (ANSeS), a través de las áreas pertinentes, para dictar las normas complementarias a los efectos de la implementación operativa de lo dispuesto por la presente, la liquidación y pago de las asignaciones familiares, y su control y supervisión.</w:t>
      </w:r>
    </w:p>
    <w:p w:rsid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 5 -</w:t>
      </w:r>
      <w:r w:rsidRPr="002D5DB5">
        <w:rPr>
          <w:color w:val="000000" w:themeColor="text1"/>
          <w:sz w:val="20"/>
          <w:szCs w:val="20"/>
        </w:rPr>
        <w:t> Las disposiciones de la presente resolución se aplicarán a las asignaciones que se pongan al pago a partir del 1 de agosto de 2019.</w:t>
      </w:r>
    </w:p>
    <w:p w:rsid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2D5DB5" w:rsidRPr="002D5DB5" w:rsidRDefault="002D5DB5" w:rsidP="002D5DB5">
      <w:pPr>
        <w:pStyle w:val="sangrianovedades"/>
        <w:spacing w:before="80" w:beforeAutospacing="0" w:after="0" w:afterAutospacing="0"/>
        <w:ind w:left="84" w:right="84" w:firstLine="84"/>
        <w:rPr>
          <w:color w:val="000000" w:themeColor="text1"/>
          <w:sz w:val="20"/>
          <w:szCs w:val="20"/>
        </w:rPr>
      </w:pPr>
      <w:r w:rsidRPr="002D5DB5">
        <w:rPr>
          <w:rStyle w:val="negritanovedades"/>
          <w:b/>
          <w:bCs/>
          <w:color w:val="000000" w:themeColor="text1"/>
          <w:sz w:val="20"/>
          <w:szCs w:val="20"/>
        </w:rPr>
        <w:t>Art. 6 -</w:t>
      </w:r>
      <w:r w:rsidRPr="002D5DB5">
        <w:rPr>
          <w:color w:val="000000" w:themeColor="text1"/>
          <w:sz w:val="20"/>
          <w:szCs w:val="20"/>
        </w:rPr>
        <w:t> De forma.</w:t>
      </w:r>
    </w:p>
    <w:p w:rsidR="004655BF" w:rsidRDefault="004655BF" w:rsidP="00CB2FB6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20"/>
          <w:szCs w:val="20"/>
        </w:rPr>
      </w:pPr>
    </w:p>
    <w:p w:rsidR="002D5DB5" w:rsidRPr="00CB2FB6" w:rsidRDefault="002D5DB5" w:rsidP="00CB2FB6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20"/>
          <w:szCs w:val="20"/>
        </w:rPr>
      </w:pPr>
    </w:p>
    <w:sectPr w:rsidR="002D5DB5" w:rsidRPr="00CB2FB6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5D40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6763F"/>
    <w:rsid w:val="0027160B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1DF2"/>
    <w:rsid w:val="002B73E8"/>
    <w:rsid w:val="002B759B"/>
    <w:rsid w:val="002C00A2"/>
    <w:rsid w:val="002C4834"/>
    <w:rsid w:val="002D1861"/>
    <w:rsid w:val="002D286B"/>
    <w:rsid w:val="002D5DB5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973A2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0373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3C23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5206"/>
    <w:rsid w:val="0087523D"/>
    <w:rsid w:val="008761D4"/>
    <w:rsid w:val="0087681E"/>
    <w:rsid w:val="008822CF"/>
    <w:rsid w:val="0088744B"/>
    <w:rsid w:val="008904B8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379D5"/>
    <w:rsid w:val="00A400AE"/>
    <w:rsid w:val="00A404E5"/>
    <w:rsid w:val="00A519D1"/>
    <w:rsid w:val="00A51C44"/>
    <w:rsid w:val="00A52131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0E77"/>
    <w:rsid w:val="00AA1BC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2FB6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2CDF"/>
    <w:rsid w:val="00EB655E"/>
    <w:rsid w:val="00EC7B06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17794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5A3A5-2B90-4A94-9371-4D3B7EC3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2019-07-17T13:48:00Z</cp:lastPrinted>
  <dcterms:created xsi:type="dcterms:W3CDTF">2019-08-01T16:21:00Z</dcterms:created>
  <dcterms:modified xsi:type="dcterms:W3CDTF">2019-08-01T16:21:00Z</dcterms:modified>
</cp:coreProperties>
</file>