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F1" w:rsidRPr="0014600A" w:rsidRDefault="00A56BF1" w:rsidP="00A56BF1">
      <w:pPr>
        <w:pStyle w:val="Ttulo"/>
        <w:jc w:val="left"/>
        <w:rPr>
          <w:rFonts w:ascii="Times New Roman" w:hAnsi="Times New Roman"/>
          <w:color w:val="000000" w:themeColor="text1"/>
          <w:sz w:val="20"/>
        </w:rPr>
      </w:pPr>
      <w:r w:rsidRPr="00CD3798">
        <w:rPr>
          <w:rFonts w:ascii="Arial" w:hAnsi="Arial" w:cs="Arial"/>
          <w:noProof/>
          <w:color w:val="000000" w:themeColor="text1"/>
          <w:sz w:val="20"/>
          <w:lang w:val="es-AR" w:eastAsia="es-AR"/>
        </w:rPr>
        <w:drawing>
          <wp:inline distT="0" distB="0" distL="0" distR="0">
            <wp:extent cx="821690" cy="833120"/>
            <wp:effectExtent l="19050" t="0" r="0" b="0"/>
            <wp:docPr id="1" name="Imagen 1" descr="LOGOB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NCH"/>
                    <pic:cNvPicPr>
                      <a:picLocks noChangeAspect="1" noChangeArrowheads="1"/>
                    </pic:cNvPicPr>
                  </pic:nvPicPr>
                  <pic:blipFill>
                    <a:blip r:embed="rId4" cstate="print"/>
                    <a:srcRect/>
                    <a:stretch>
                      <a:fillRect/>
                    </a:stretch>
                  </pic:blipFill>
                  <pic:spPr bwMode="auto">
                    <a:xfrm>
                      <a:off x="0" y="0"/>
                      <a:ext cx="821690" cy="833120"/>
                    </a:xfrm>
                    <a:prstGeom prst="rect">
                      <a:avLst/>
                    </a:prstGeom>
                    <a:noFill/>
                    <a:ln w="9525">
                      <a:noFill/>
                      <a:miter lim="800000"/>
                      <a:headEnd/>
                      <a:tailEnd/>
                    </a:ln>
                  </pic:spPr>
                </pic:pic>
              </a:graphicData>
            </a:graphic>
          </wp:inline>
        </w:drawing>
      </w:r>
      <w:r>
        <w:rPr>
          <w:rFonts w:ascii="Times New Roman" w:hAnsi="Times New Roman"/>
          <w:color w:val="000000" w:themeColor="text1"/>
          <w:szCs w:val="48"/>
        </w:rPr>
        <w:t xml:space="preserve">     </w:t>
      </w:r>
      <w:r w:rsidRPr="0014600A">
        <w:rPr>
          <w:rFonts w:ascii="Times New Roman" w:hAnsi="Times New Roman"/>
          <w:color w:val="000000" w:themeColor="text1"/>
          <w:szCs w:val="48"/>
        </w:rPr>
        <w:t>Cámara del Comercio Automotor</w:t>
      </w:r>
    </w:p>
    <w:p w:rsidR="00A56BF1" w:rsidRPr="0014600A" w:rsidRDefault="00A56BF1" w:rsidP="00A56BF1">
      <w:pPr>
        <w:spacing w:after="240"/>
        <w:jc w:val="center"/>
        <w:rPr>
          <w:color w:val="000000" w:themeColor="text1"/>
        </w:rPr>
      </w:pPr>
      <w:r w:rsidRPr="0014600A">
        <w:rPr>
          <w:color w:val="000000" w:themeColor="text1"/>
        </w:rPr>
        <w:t>Julián Álvarez 1283 (1414) Buenos Aires - Tel: 5197-5014/5032  Fax: 4535-2095  http://www.cca.org.ar</w:t>
      </w:r>
    </w:p>
    <w:tbl>
      <w:tblPr>
        <w:tblW w:w="10387" w:type="dxa"/>
        <w:jc w:val="center"/>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1417"/>
        <w:gridCol w:w="3068"/>
        <w:gridCol w:w="2305"/>
        <w:gridCol w:w="1470"/>
      </w:tblGrid>
      <w:tr w:rsidR="00A56BF1" w:rsidRPr="004A72A1" w:rsidTr="00CA516F">
        <w:trPr>
          <w:trHeight w:val="262"/>
          <w:jc w:val="center"/>
        </w:trPr>
        <w:tc>
          <w:tcPr>
            <w:tcW w:w="10387" w:type="dxa"/>
            <w:gridSpan w:val="5"/>
          </w:tcPr>
          <w:p w:rsidR="00A56BF1" w:rsidRPr="004A72A1" w:rsidRDefault="00A56BF1" w:rsidP="003F75DC">
            <w:pPr>
              <w:jc w:val="center"/>
              <w:rPr>
                <w:b/>
                <w:color w:val="000000" w:themeColor="text1"/>
              </w:rPr>
            </w:pPr>
            <w:r w:rsidRPr="004A72A1">
              <w:rPr>
                <w:b/>
                <w:color w:val="000000" w:themeColor="text1"/>
              </w:rPr>
              <w:t>Asesoría</w:t>
            </w:r>
          </w:p>
        </w:tc>
      </w:tr>
      <w:tr w:rsidR="00A56BF1" w:rsidRPr="004A72A1" w:rsidTr="00CA516F">
        <w:trPr>
          <w:cantSplit/>
          <w:trHeight w:val="413"/>
          <w:jc w:val="center"/>
        </w:trPr>
        <w:tc>
          <w:tcPr>
            <w:tcW w:w="2127" w:type="dxa"/>
          </w:tcPr>
          <w:p w:rsidR="00A56BF1" w:rsidRPr="004A72A1" w:rsidRDefault="00A56BF1" w:rsidP="003F75DC">
            <w:pPr>
              <w:jc w:val="center"/>
              <w:rPr>
                <w:b/>
                <w:color w:val="000000" w:themeColor="text1"/>
              </w:rPr>
            </w:pPr>
            <w:r w:rsidRPr="004A72A1">
              <w:rPr>
                <w:b/>
                <w:color w:val="000000" w:themeColor="text1"/>
              </w:rPr>
              <w:t>Circular Informativa</w:t>
            </w:r>
          </w:p>
          <w:p w:rsidR="00A56BF1" w:rsidRPr="004A72A1" w:rsidRDefault="00A56BF1" w:rsidP="00D60743">
            <w:pPr>
              <w:jc w:val="center"/>
              <w:rPr>
                <w:b/>
                <w:color w:val="000000" w:themeColor="text1"/>
              </w:rPr>
            </w:pPr>
            <w:r w:rsidRPr="004A72A1">
              <w:rPr>
                <w:b/>
                <w:color w:val="000000" w:themeColor="text1"/>
              </w:rPr>
              <w:t>N°</w:t>
            </w:r>
            <w:r w:rsidR="00367ED7">
              <w:rPr>
                <w:b/>
                <w:color w:val="000000" w:themeColor="text1"/>
              </w:rPr>
              <w:t>0</w:t>
            </w:r>
            <w:r w:rsidR="00A92110">
              <w:rPr>
                <w:b/>
                <w:color w:val="000000" w:themeColor="text1"/>
              </w:rPr>
              <w:t>1</w:t>
            </w:r>
            <w:r w:rsidR="00D60743">
              <w:rPr>
                <w:b/>
                <w:color w:val="000000" w:themeColor="text1"/>
              </w:rPr>
              <w:t>6</w:t>
            </w:r>
            <w:r w:rsidR="00097BC2">
              <w:rPr>
                <w:b/>
                <w:color w:val="000000" w:themeColor="text1"/>
              </w:rPr>
              <w:t>-</w:t>
            </w:r>
            <w:r w:rsidRPr="004A72A1">
              <w:rPr>
                <w:b/>
                <w:color w:val="000000" w:themeColor="text1"/>
              </w:rPr>
              <w:t>201</w:t>
            </w:r>
            <w:r w:rsidR="00367ED7">
              <w:rPr>
                <w:b/>
                <w:color w:val="000000" w:themeColor="text1"/>
              </w:rPr>
              <w:t>8</w:t>
            </w:r>
          </w:p>
        </w:tc>
        <w:tc>
          <w:tcPr>
            <w:tcW w:w="1417" w:type="dxa"/>
          </w:tcPr>
          <w:p w:rsidR="00A56BF1" w:rsidRPr="004A72A1" w:rsidRDefault="00A56BF1" w:rsidP="003F75DC">
            <w:pPr>
              <w:jc w:val="center"/>
              <w:rPr>
                <w:b/>
                <w:color w:val="000000" w:themeColor="text1"/>
              </w:rPr>
            </w:pPr>
            <w:r w:rsidRPr="004A72A1">
              <w:rPr>
                <w:b/>
                <w:color w:val="000000" w:themeColor="text1"/>
              </w:rPr>
              <w:t>Área</w:t>
            </w:r>
          </w:p>
          <w:p w:rsidR="00A56BF1" w:rsidRPr="004A72A1" w:rsidRDefault="00D60743" w:rsidP="00D60743">
            <w:pPr>
              <w:jc w:val="center"/>
              <w:rPr>
                <w:b/>
                <w:color w:val="000000" w:themeColor="text1"/>
              </w:rPr>
            </w:pPr>
            <w:r>
              <w:rPr>
                <w:b/>
                <w:color w:val="000000" w:themeColor="text1"/>
              </w:rPr>
              <w:t>IMPOSITIVA</w:t>
            </w:r>
          </w:p>
        </w:tc>
        <w:tc>
          <w:tcPr>
            <w:tcW w:w="6843" w:type="dxa"/>
            <w:gridSpan w:val="3"/>
          </w:tcPr>
          <w:p w:rsidR="00335E19" w:rsidRDefault="00755EE1" w:rsidP="003F75DC">
            <w:pPr>
              <w:jc w:val="center"/>
              <w:rPr>
                <w:b/>
                <w:color w:val="000000" w:themeColor="text1"/>
              </w:rPr>
            </w:pPr>
            <w:r w:rsidRPr="004A72A1">
              <w:rPr>
                <w:b/>
                <w:color w:val="000000" w:themeColor="text1"/>
              </w:rPr>
              <w:t>Tema</w:t>
            </w:r>
          </w:p>
          <w:p w:rsidR="00A56BF1" w:rsidRPr="00ED121B" w:rsidRDefault="00ED121B" w:rsidP="009B287A">
            <w:pPr>
              <w:jc w:val="center"/>
              <w:rPr>
                <w:b/>
                <w:color w:val="000000" w:themeColor="text1"/>
              </w:rPr>
            </w:pPr>
            <w:r w:rsidRPr="00ED121B">
              <w:rPr>
                <w:b/>
                <w:bCs/>
                <w:color w:val="000000"/>
                <w:sz w:val="18"/>
                <w:szCs w:val="16"/>
              </w:rPr>
              <w:t>GANANCIA MÍNIMA PRESUNTA, IMPUESTO SOBRE LOS DÉBITOS Y CRÉDITOS EN LAS TRANSACCIONES FINANCIERAS Y RÉGIMEN DE INFORMACIÓN DE PARTICIPACIONES SOCIETARIAS. SE ADECUAN LAS FECHAS DE VENCIMIENTO</w:t>
            </w:r>
          </w:p>
        </w:tc>
      </w:tr>
      <w:tr w:rsidR="00A56BF1" w:rsidRPr="004A72A1" w:rsidTr="00CA516F">
        <w:trPr>
          <w:trHeight w:val="578"/>
          <w:jc w:val="center"/>
        </w:trPr>
        <w:tc>
          <w:tcPr>
            <w:tcW w:w="6612" w:type="dxa"/>
            <w:gridSpan w:val="3"/>
          </w:tcPr>
          <w:p w:rsidR="00ED121B" w:rsidRDefault="00A56BF1" w:rsidP="003F75DC">
            <w:pPr>
              <w:jc w:val="center"/>
              <w:rPr>
                <w:b/>
                <w:color w:val="000000" w:themeColor="text1"/>
              </w:rPr>
            </w:pPr>
            <w:r w:rsidRPr="004A72A1">
              <w:rPr>
                <w:b/>
                <w:color w:val="000000" w:themeColor="text1"/>
              </w:rPr>
              <w:t>Norm</w:t>
            </w:r>
            <w:r w:rsidR="00ED121B">
              <w:rPr>
                <w:b/>
                <w:color w:val="000000" w:themeColor="text1"/>
              </w:rPr>
              <w:t>a</w:t>
            </w:r>
          </w:p>
          <w:p w:rsidR="00A56BF1" w:rsidRPr="008F4DBD" w:rsidRDefault="00ED121B" w:rsidP="00ED121B">
            <w:pPr>
              <w:jc w:val="center"/>
              <w:rPr>
                <w:color w:val="000000" w:themeColor="text1"/>
              </w:rPr>
            </w:pPr>
            <w:r>
              <w:rPr>
                <w:rStyle w:val="Textoennegrita"/>
                <w:color w:val="000000"/>
              </w:rPr>
              <w:t>RESOLUCIÓN GENERAL (AFIP) 4203-E</w:t>
            </w:r>
          </w:p>
        </w:tc>
        <w:tc>
          <w:tcPr>
            <w:tcW w:w="2305" w:type="dxa"/>
          </w:tcPr>
          <w:p w:rsidR="00A56BF1" w:rsidRPr="004A72A1" w:rsidRDefault="00A56BF1" w:rsidP="003F75DC">
            <w:pPr>
              <w:jc w:val="center"/>
              <w:rPr>
                <w:b/>
                <w:color w:val="000000" w:themeColor="text1"/>
              </w:rPr>
            </w:pPr>
            <w:r w:rsidRPr="004A72A1">
              <w:rPr>
                <w:b/>
                <w:color w:val="000000" w:themeColor="text1"/>
              </w:rPr>
              <w:t>Publicación</w:t>
            </w:r>
          </w:p>
          <w:p w:rsidR="00A56BF1" w:rsidRPr="004A72A1" w:rsidRDefault="00AE5AFD" w:rsidP="003F75DC">
            <w:pPr>
              <w:jc w:val="center"/>
              <w:rPr>
                <w:b/>
                <w:color w:val="000000" w:themeColor="text1"/>
              </w:rPr>
            </w:pPr>
            <w:r>
              <w:rPr>
                <w:b/>
                <w:color w:val="000000" w:themeColor="text1"/>
              </w:rPr>
              <w:t>B. O.</w:t>
            </w:r>
          </w:p>
        </w:tc>
        <w:tc>
          <w:tcPr>
            <w:tcW w:w="1470" w:type="dxa"/>
          </w:tcPr>
          <w:p w:rsidR="00A56BF1" w:rsidRPr="004A72A1" w:rsidRDefault="00A56BF1" w:rsidP="003F75DC">
            <w:pPr>
              <w:jc w:val="center"/>
              <w:rPr>
                <w:b/>
                <w:color w:val="000000" w:themeColor="text1"/>
              </w:rPr>
            </w:pPr>
            <w:r w:rsidRPr="004A72A1">
              <w:rPr>
                <w:b/>
                <w:color w:val="000000" w:themeColor="text1"/>
              </w:rPr>
              <w:t>Fecha</w:t>
            </w:r>
          </w:p>
          <w:p w:rsidR="00A56BF1" w:rsidRPr="004A72A1" w:rsidRDefault="00AE5AFD" w:rsidP="00ED121B">
            <w:pPr>
              <w:jc w:val="center"/>
              <w:rPr>
                <w:b/>
                <w:color w:val="000000" w:themeColor="text1"/>
              </w:rPr>
            </w:pPr>
            <w:r>
              <w:rPr>
                <w:b/>
                <w:color w:val="000000" w:themeColor="text1"/>
              </w:rPr>
              <w:t>0</w:t>
            </w:r>
            <w:r w:rsidR="00ED121B">
              <w:rPr>
                <w:b/>
                <w:color w:val="000000" w:themeColor="text1"/>
              </w:rPr>
              <w:t>8</w:t>
            </w:r>
            <w:r w:rsidR="00A56BF1" w:rsidRPr="004A72A1">
              <w:rPr>
                <w:b/>
                <w:color w:val="000000" w:themeColor="text1"/>
              </w:rPr>
              <w:t>/</w:t>
            </w:r>
            <w:r w:rsidR="00645485">
              <w:rPr>
                <w:b/>
                <w:color w:val="000000" w:themeColor="text1"/>
              </w:rPr>
              <w:t>0</w:t>
            </w:r>
            <w:r w:rsidR="00BD3532">
              <w:rPr>
                <w:b/>
                <w:color w:val="000000" w:themeColor="text1"/>
              </w:rPr>
              <w:t>2</w:t>
            </w:r>
            <w:r w:rsidR="00A56BF1" w:rsidRPr="004A72A1">
              <w:rPr>
                <w:b/>
                <w:color w:val="000000" w:themeColor="text1"/>
              </w:rPr>
              <w:t>/201</w:t>
            </w:r>
            <w:r w:rsidR="00645485">
              <w:rPr>
                <w:b/>
                <w:color w:val="000000" w:themeColor="text1"/>
              </w:rPr>
              <w:t>8</w:t>
            </w:r>
          </w:p>
        </w:tc>
      </w:tr>
    </w:tbl>
    <w:p w:rsidR="00CF39FF" w:rsidRDefault="00CF39FF" w:rsidP="00AB3EE6">
      <w:pPr>
        <w:rPr>
          <w:i/>
          <w:iCs/>
          <w:noProof/>
          <w:color w:val="000000"/>
          <w:sz w:val="27"/>
          <w:lang w:val="es-AR" w:eastAsia="es-AR"/>
        </w:rPr>
      </w:pPr>
    </w:p>
    <w:p w:rsidR="00AB3EE6" w:rsidRPr="00AB3EE6" w:rsidRDefault="00AB3EE6" w:rsidP="00AB3EE6">
      <w:pPr>
        <w:spacing w:before="80"/>
        <w:ind w:right="84"/>
        <w:jc w:val="both"/>
        <w:rPr>
          <w:color w:val="000000" w:themeColor="text1"/>
          <w:sz w:val="18"/>
          <w:szCs w:val="16"/>
          <w:lang w:val="es-AR" w:eastAsia="es-AR"/>
        </w:rPr>
      </w:pPr>
      <w:r w:rsidRPr="00AB3EE6">
        <w:rPr>
          <w:b/>
          <w:bCs/>
          <w:color w:val="000000" w:themeColor="text1"/>
          <w:sz w:val="18"/>
          <w:lang w:val="es-AR" w:eastAsia="es-AR"/>
        </w:rPr>
        <w:t>Art. 1 -</w:t>
      </w:r>
      <w:r w:rsidRPr="00AB3EE6">
        <w:rPr>
          <w:color w:val="000000" w:themeColor="text1"/>
          <w:sz w:val="18"/>
          <w:lang w:val="es-AR" w:eastAsia="es-AR"/>
        </w:rPr>
        <w:t> </w:t>
      </w:r>
      <w:proofErr w:type="spellStart"/>
      <w:r w:rsidRPr="00AB3EE6">
        <w:rPr>
          <w:color w:val="000000" w:themeColor="text1"/>
          <w:sz w:val="18"/>
          <w:szCs w:val="16"/>
          <w:lang w:val="es-AR" w:eastAsia="es-AR"/>
        </w:rPr>
        <w:t>Modifícase</w:t>
      </w:r>
      <w:proofErr w:type="spellEnd"/>
      <w:r w:rsidRPr="00AB3EE6">
        <w:rPr>
          <w:color w:val="000000" w:themeColor="text1"/>
          <w:sz w:val="18"/>
          <w:szCs w:val="16"/>
          <w:lang w:val="es-AR" w:eastAsia="es-AR"/>
        </w:rPr>
        <w:t xml:space="preserve"> la</w:t>
      </w:r>
      <w:r w:rsidRPr="00AB3EE6">
        <w:rPr>
          <w:color w:val="000000" w:themeColor="text1"/>
          <w:sz w:val="18"/>
          <w:lang w:val="es-AR" w:eastAsia="es-AR"/>
        </w:rPr>
        <w:t> resolución general 2011</w:t>
      </w:r>
      <w:r w:rsidRPr="00AB3EE6">
        <w:rPr>
          <w:color w:val="000000" w:themeColor="text1"/>
          <w:sz w:val="18"/>
          <w:szCs w:val="16"/>
          <w:lang w:val="es-AR" w:eastAsia="es-AR"/>
        </w:rPr>
        <w:t>, sus modificatorias y complementarias, en la forma que se indica a continuación:</w:t>
      </w:r>
    </w:p>
    <w:p w:rsidR="00AB3EE6" w:rsidRPr="00AB3EE6" w:rsidRDefault="00AB3EE6" w:rsidP="00AB3EE6">
      <w:pPr>
        <w:spacing w:before="80"/>
        <w:ind w:left="216" w:right="84"/>
        <w:jc w:val="both"/>
        <w:rPr>
          <w:color w:val="000000" w:themeColor="text1"/>
          <w:sz w:val="18"/>
          <w:szCs w:val="16"/>
          <w:lang w:val="es-AR" w:eastAsia="es-AR"/>
        </w:rPr>
      </w:pPr>
      <w:r w:rsidRPr="00AB3EE6">
        <w:rPr>
          <w:color w:val="000000" w:themeColor="text1"/>
          <w:sz w:val="18"/>
          <w:szCs w:val="16"/>
          <w:lang w:val="es-AR" w:eastAsia="es-AR"/>
        </w:rPr>
        <w:t xml:space="preserve">1. </w:t>
      </w:r>
      <w:proofErr w:type="spellStart"/>
      <w:r w:rsidRPr="00AB3EE6">
        <w:rPr>
          <w:color w:val="000000" w:themeColor="text1"/>
          <w:sz w:val="18"/>
          <w:szCs w:val="16"/>
          <w:lang w:val="es-AR" w:eastAsia="es-AR"/>
        </w:rPr>
        <w:t>Sustitúyese</w:t>
      </w:r>
      <w:proofErr w:type="spellEnd"/>
      <w:r w:rsidRPr="00AB3EE6">
        <w:rPr>
          <w:color w:val="000000" w:themeColor="text1"/>
          <w:sz w:val="18"/>
          <w:szCs w:val="16"/>
          <w:lang w:val="es-AR" w:eastAsia="es-AR"/>
        </w:rPr>
        <w:t xml:space="preserve"> el</w:t>
      </w:r>
      <w:r w:rsidRPr="00AB3EE6">
        <w:rPr>
          <w:color w:val="000000" w:themeColor="text1"/>
          <w:sz w:val="18"/>
          <w:lang w:val="es-AR" w:eastAsia="es-AR"/>
        </w:rPr>
        <w:t> artículo 6</w:t>
      </w:r>
      <w:r w:rsidRPr="00AB3EE6">
        <w:rPr>
          <w:color w:val="000000" w:themeColor="text1"/>
          <w:sz w:val="18"/>
          <w:szCs w:val="16"/>
          <w:lang w:val="es-AR" w:eastAsia="es-AR"/>
        </w:rPr>
        <w:t>, por el siguiente:</w:t>
      </w:r>
    </w:p>
    <w:p w:rsidR="00AB3EE6" w:rsidRPr="00AB3EE6" w:rsidRDefault="00AB3EE6" w:rsidP="00AB3EE6">
      <w:pPr>
        <w:spacing w:before="80"/>
        <w:ind w:left="432" w:right="84"/>
        <w:jc w:val="both"/>
        <w:rPr>
          <w:color w:val="000000" w:themeColor="text1"/>
          <w:sz w:val="18"/>
          <w:szCs w:val="16"/>
          <w:lang w:val="es-AR" w:eastAsia="es-AR"/>
        </w:rPr>
      </w:pPr>
      <w:r w:rsidRPr="00AB3EE6">
        <w:rPr>
          <w:color w:val="000000" w:themeColor="text1"/>
          <w:sz w:val="18"/>
          <w:szCs w:val="16"/>
          <w:lang w:val="es-AR" w:eastAsia="es-AR"/>
        </w:rPr>
        <w:t>“Art. 6 - La presentación de la declaración jurada y el pago del saldo resultante, deberá efectuarse hasta los días que -de acuerdo con la terminación de la clave única de identificación tributaria (CUIT) del responsable- fija el cronograma de vencimientos vigente del mes que, para cada caso, se indica a continuación:</w:t>
      </w:r>
    </w:p>
    <w:p w:rsidR="00AB3EE6" w:rsidRPr="00AB3EE6" w:rsidRDefault="00AB3EE6" w:rsidP="00AB3EE6">
      <w:pPr>
        <w:spacing w:before="80"/>
        <w:ind w:left="648" w:right="84"/>
        <w:jc w:val="both"/>
        <w:rPr>
          <w:color w:val="000000" w:themeColor="text1"/>
          <w:sz w:val="18"/>
          <w:szCs w:val="16"/>
          <w:lang w:val="es-AR" w:eastAsia="es-AR"/>
        </w:rPr>
      </w:pPr>
      <w:r w:rsidRPr="00AB3EE6">
        <w:rPr>
          <w:color w:val="000000" w:themeColor="text1"/>
          <w:sz w:val="18"/>
          <w:szCs w:val="16"/>
          <w:lang w:val="es-AR" w:eastAsia="es-AR"/>
        </w:rPr>
        <w:t>a) Personas humanas y sucesiones indivisas comprendidas en el inciso e) del artículo 2 del Título V de la ley 25063 y sus modificaciones, empresas o explotaciones unipersonales mencionadas en el inciso c) del citado artículo 2 cuyos cierres de ejercicio coincidan con el año calendario, sociedades previstas en el inciso b) del artículo 49 de la ley de impuesto a las ganancias, texto ordenado en 1997 y sus modificaciones, cuyos cierres de ejercicio coincidan con el año calendario, y demás responsables cuyos cierres de ejercicio coincidan con el año calendario: junio de cada año inmediato siguiente al de finalización del período fiscal por el cual se formula la respectiva presentación.</w:t>
      </w:r>
    </w:p>
    <w:p w:rsidR="00AB3EE6" w:rsidRPr="00AB3EE6" w:rsidRDefault="00AB3EE6" w:rsidP="00AB3EE6">
      <w:pPr>
        <w:spacing w:before="80"/>
        <w:ind w:left="648" w:right="84"/>
        <w:jc w:val="both"/>
        <w:rPr>
          <w:color w:val="000000" w:themeColor="text1"/>
          <w:sz w:val="18"/>
          <w:szCs w:val="16"/>
          <w:lang w:val="es-AR" w:eastAsia="es-AR"/>
        </w:rPr>
      </w:pPr>
      <w:r w:rsidRPr="00AB3EE6">
        <w:rPr>
          <w:color w:val="000000" w:themeColor="text1"/>
          <w:sz w:val="18"/>
          <w:szCs w:val="16"/>
          <w:lang w:val="es-AR" w:eastAsia="es-AR"/>
        </w:rPr>
        <w:t>b) Sujetos no mencionados en el inciso precedente: quinto mes siguiente al de finalización del período fiscal de que se trate.</w:t>
      </w:r>
    </w:p>
    <w:p w:rsidR="00AB3EE6" w:rsidRPr="00AB3EE6" w:rsidRDefault="00AB3EE6" w:rsidP="00AB3EE6">
      <w:pPr>
        <w:spacing w:before="80"/>
        <w:ind w:left="432" w:right="84"/>
        <w:jc w:val="both"/>
        <w:rPr>
          <w:color w:val="000000" w:themeColor="text1"/>
          <w:sz w:val="18"/>
          <w:szCs w:val="16"/>
          <w:lang w:val="es-AR" w:eastAsia="es-AR"/>
        </w:rPr>
      </w:pPr>
      <w:r w:rsidRPr="00AB3EE6">
        <w:rPr>
          <w:color w:val="000000" w:themeColor="text1"/>
          <w:sz w:val="18"/>
          <w:szCs w:val="16"/>
          <w:lang w:val="es-AR" w:eastAsia="es-AR"/>
        </w:rPr>
        <w:t>El ingreso del saldo resultante de la declaración jurada deberá realizarse hasta el día hábil administrativo inmediato siguiente, inclusive, al de cada una de las fechas de vencimiento general que corresponda, de acuerdo con lo establecido en el párrafo anterior.</w:t>
      </w:r>
    </w:p>
    <w:p w:rsidR="00AB3EE6" w:rsidRPr="00AB3EE6" w:rsidRDefault="00AB3EE6" w:rsidP="00AB3EE6">
      <w:pPr>
        <w:spacing w:before="80"/>
        <w:ind w:left="432" w:right="84"/>
        <w:jc w:val="both"/>
        <w:rPr>
          <w:color w:val="000000" w:themeColor="text1"/>
          <w:sz w:val="18"/>
          <w:szCs w:val="16"/>
          <w:lang w:val="es-AR" w:eastAsia="es-AR"/>
        </w:rPr>
      </w:pPr>
      <w:r w:rsidRPr="00AB3EE6">
        <w:rPr>
          <w:color w:val="000000" w:themeColor="text1"/>
          <w:sz w:val="18"/>
          <w:szCs w:val="16"/>
          <w:lang w:val="es-AR" w:eastAsia="es-AR"/>
        </w:rPr>
        <w:t>Cuando alguna de las fechas de vencimiento establecidas coincida con día feriado o inhábil, la misma, así como las posteriores, se trasladarán correlativamente al o a los días hábiles inmediatos siguientes”.</w:t>
      </w:r>
    </w:p>
    <w:p w:rsidR="00AB3EE6" w:rsidRPr="00AB3EE6" w:rsidRDefault="00AB3EE6" w:rsidP="00AB3EE6">
      <w:pPr>
        <w:spacing w:before="80"/>
        <w:ind w:left="216" w:right="84"/>
        <w:jc w:val="both"/>
        <w:rPr>
          <w:color w:val="000000" w:themeColor="text1"/>
          <w:sz w:val="18"/>
          <w:szCs w:val="16"/>
          <w:lang w:val="es-AR" w:eastAsia="es-AR"/>
        </w:rPr>
      </w:pPr>
      <w:r w:rsidRPr="00AB3EE6">
        <w:rPr>
          <w:color w:val="000000" w:themeColor="text1"/>
          <w:sz w:val="18"/>
          <w:szCs w:val="16"/>
          <w:lang w:val="es-AR" w:eastAsia="es-AR"/>
        </w:rPr>
        <w:t xml:space="preserve">2. </w:t>
      </w:r>
      <w:proofErr w:type="spellStart"/>
      <w:r w:rsidRPr="00AB3EE6">
        <w:rPr>
          <w:color w:val="000000" w:themeColor="text1"/>
          <w:sz w:val="18"/>
          <w:szCs w:val="16"/>
          <w:lang w:val="es-AR" w:eastAsia="es-AR"/>
        </w:rPr>
        <w:t>Elimínanse</w:t>
      </w:r>
      <w:proofErr w:type="spellEnd"/>
      <w:r w:rsidRPr="00AB3EE6">
        <w:rPr>
          <w:color w:val="000000" w:themeColor="text1"/>
          <w:sz w:val="18"/>
          <w:szCs w:val="16"/>
          <w:lang w:val="es-AR" w:eastAsia="es-AR"/>
        </w:rPr>
        <w:t xml:space="preserve"> las notas aclaratorias (6.1), (6.2) y (6.3) del</w:t>
      </w:r>
      <w:r w:rsidRPr="00AB3EE6">
        <w:rPr>
          <w:color w:val="000000" w:themeColor="text1"/>
          <w:sz w:val="18"/>
          <w:lang w:val="es-AR" w:eastAsia="es-AR"/>
        </w:rPr>
        <w:t> Anexo I</w:t>
      </w:r>
      <w:r w:rsidRPr="00AB3EE6">
        <w:rPr>
          <w:color w:val="000000" w:themeColor="text1"/>
          <w:sz w:val="18"/>
          <w:szCs w:val="16"/>
          <w:lang w:val="es-AR" w:eastAsia="es-AR"/>
        </w:rPr>
        <w:t>.</w:t>
      </w:r>
    </w:p>
    <w:p w:rsidR="00AB3EE6" w:rsidRPr="00AB3EE6" w:rsidRDefault="00AB3EE6" w:rsidP="00AB3EE6">
      <w:pPr>
        <w:spacing w:before="80"/>
        <w:ind w:left="84" w:right="84" w:firstLine="84"/>
        <w:jc w:val="both"/>
        <w:rPr>
          <w:color w:val="000000" w:themeColor="text1"/>
          <w:sz w:val="18"/>
          <w:szCs w:val="16"/>
          <w:lang w:val="es-AR" w:eastAsia="es-AR"/>
        </w:rPr>
      </w:pPr>
      <w:r w:rsidRPr="00AB3EE6">
        <w:rPr>
          <w:b/>
          <w:bCs/>
          <w:color w:val="000000" w:themeColor="text1"/>
          <w:sz w:val="18"/>
          <w:lang w:val="es-AR" w:eastAsia="es-AR"/>
        </w:rPr>
        <w:t>Art. 2 -</w:t>
      </w:r>
      <w:r w:rsidRPr="00AB3EE6">
        <w:rPr>
          <w:color w:val="000000" w:themeColor="text1"/>
          <w:sz w:val="18"/>
          <w:lang w:val="es-AR" w:eastAsia="es-AR"/>
        </w:rPr>
        <w:t> </w:t>
      </w:r>
      <w:proofErr w:type="spellStart"/>
      <w:r w:rsidRPr="00AB3EE6">
        <w:rPr>
          <w:color w:val="000000" w:themeColor="text1"/>
          <w:sz w:val="18"/>
          <w:szCs w:val="16"/>
          <w:lang w:val="es-AR" w:eastAsia="es-AR"/>
        </w:rPr>
        <w:t>Sustitúyese</w:t>
      </w:r>
      <w:proofErr w:type="spellEnd"/>
      <w:r w:rsidRPr="00AB3EE6">
        <w:rPr>
          <w:color w:val="000000" w:themeColor="text1"/>
          <w:sz w:val="18"/>
          <w:szCs w:val="16"/>
          <w:lang w:val="es-AR" w:eastAsia="es-AR"/>
        </w:rPr>
        <w:t xml:space="preserve"> el</w:t>
      </w:r>
      <w:r w:rsidRPr="00AB3EE6">
        <w:rPr>
          <w:color w:val="000000" w:themeColor="text1"/>
          <w:sz w:val="18"/>
          <w:lang w:val="es-AR" w:eastAsia="es-AR"/>
        </w:rPr>
        <w:t> artículo 11 de la resolución general 2111</w:t>
      </w:r>
      <w:r w:rsidRPr="00AB3EE6">
        <w:rPr>
          <w:color w:val="000000" w:themeColor="text1"/>
          <w:sz w:val="18"/>
          <w:szCs w:val="16"/>
          <w:lang w:val="es-AR" w:eastAsia="es-AR"/>
        </w:rPr>
        <w:t>, sus modificatorias y complementarias, por el siguiente:</w:t>
      </w:r>
    </w:p>
    <w:p w:rsidR="00AB3EE6" w:rsidRPr="00AB3EE6" w:rsidRDefault="00AB3EE6" w:rsidP="00AB3EE6">
      <w:pPr>
        <w:spacing w:before="80"/>
        <w:ind w:left="216" w:right="84"/>
        <w:jc w:val="both"/>
        <w:rPr>
          <w:color w:val="000000" w:themeColor="text1"/>
          <w:sz w:val="18"/>
          <w:szCs w:val="16"/>
          <w:lang w:val="es-AR" w:eastAsia="es-AR"/>
        </w:rPr>
      </w:pPr>
      <w:r w:rsidRPr="00AB3EE6">
        <w:rPr>
          <w:color w:val="000000" w:themeColor="text1"/>
          <w:sz w:val="18"/>
          <w:szCs w:val="16"/>
          <w:lang w:val="es-AR" w:eastAsia="es-AR"/>
        </w:rPr>
        <w:t>“Art. 11 - La presentación del formulario de declaración jurada F. 776 a que se refiere el artículo precedente se efectuará hasta el día, inclusive, del mes inmediato siguiente al del período mensual informado, de acuerdo con la terminación de la clave única de identificación tributaria (CUIT) que, para cada caso, se fija a continuación:</w:t>
      </w:r>
    </w:p>
    <w:p w:rsidR="00AB3EE6" w:rsidRPr="00AB3EE6" w:rsidRDefault="00AB3EE6" w:rsidP="00AB3EE6">
      <w:pPr>
        <w:spacing w:before="84" w:after="84"/>
        <w:ind w:left="84" w:right="84"/>
        <w:rPr>
          <w:color w:val="000000" w:themeColor="text1"/>
          <w:sz w:val="28"/>
          <w:szCs w:val="24"/>
          <w:lang w:val="es-AR" w:eastAsia="es-AR"/>
        </w:rPr>
      </w:pPr>
      <w:r w:rsidRPr="00AB3EE6">
        <w:rPr>
          <w:color w:val="000000" w:themeColor="text1"/>
          <w:sz w:val="28"/>
          <w:szCs w:val="24"/>
          <w:lang w:val="es-AR" w:eastAsia="es-AR"/>
        </w:rPr>
        <w:t> </w:t>
      </w:r>
    </w:p>
    <w:tbl>
      <w:tblPr>
        <w:tblW w:w="628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2600"/>
        <w:gridCol w:w="3685"/>
      </w:tblGrid>
      <w:tr w:rsidR="00AB3EE6" w:rsidRPr="00AB3EE6" w:rsidTr="00AB3EE6">
        <w:tc>
          <w:tcPr>
            <w:tcW w:w="2600" w:type="dxa"/>
            <w:tcBorders>
              <w:top w:val="single" w:sz="12" w:space="0" w:color="000000"/>
              <w:left w:val="single" w:sz="4" w:space="0" w:color="000000"/>
              <w:bottom w:val="single" w:sz="4" w:space="0" w:color="000000"/>
              <w:right w:val="single" w:sz="4" w:space="0" w:color="000000"/>
            </w:tcBorders>
            <w:shd w:val="clear" w:color="auto" w:fill="A6A6A6"/>
            <w:tcMar>
              <w:top w:w="48" w:type="dxa"/>
              <w:left w:w="48" w:type="dxa"/>
              <w:bottom w:w="48" w:type="dxa"/>
              <w:right w:w="48" w:type="dxa"/>
            </w:tcMar>
            <w:vAlign w:val="center"/>
            <w:hideMark/>
          </w:tcPr>
          <w:p w:rsidR="00AB3EE6" w:rsidRPr="00AB3EE6" w:rsidRDefault="00AB3EE6" w:rsidP="00AB3EE6">
            <w:pPr>
              <w:ind w:left="84" w:right="84"/>
              <w:jc w:val="center"/>
              <w:rPr>
                <w:color w:val="000000" w:themeColor="text1"/>
                <w:sz w:val="16"/>
                <w:szCs w:val="15"/>
                <w:lang w:val="es-AR" w:eastAsia="es-AR"/>
              </w:rPr>
            </w:pPr>
            <w:r w:rsidRPr="00AB3EE6">
              <w:rPr>
                <w:b/>
                <w:bCs/>
                <w:color w:val="000000" w:themeColor="text1"/>
                <w:sz w:val="16"/>
                <w:lang w:val="es-AR" w:eastAsia="es-AR"/>
              </w:rPr>
              <w:t>Terminación CUIT</w:t>
            </w:r>
          </w:p>
        </w:tc>
        <w:tc>
          <w:tcPr>
            <w:tcW w:w="3685" w:type="dxa"/>
            <w:tcBorders>
              <w:top w:val="single" w:sz="12" w:space="0" w:color="000000"/>
              <w:left w:val="single" w:sz="4" w:space="0" w:color="000000"/>
              <w:bottom w:val="single" w:sz="4" w:space="0" w:color="000000"/>
              <w:right w:val="single" w:sz="4" w:space="0" w:color="000000"/>
            </w:tcBorders>
            <w:shd w:val="clear" w:color="auto" w:fill="A6A6A6"/>
            <w:tcMar>
              <w:top w:w="48" w:type="dxa"/>
              <w:left w:w="48" w:type="dxa"/>
              <w:bottom w:w="48" w:type="dxa"/>
              <w:right w:w="48" w:type="dxa"/>
            </w:tcMar>
            <w:vAlign w:val="center"/>
            <w:hideMark/>
          </w:tcPr>
          <w:p w:rsidR="00AB3EE6" w:rsidRPr="00AB3EE6" w:rsidRDefault="00AB3EE6" w:rsidP="00AB3EE6">
            <w:pPr>
              <w:ind w:left="84" w:right="84"/>
              <w:jc w:val="center"/>
              <w:rPr>
                <w:color w:val="000000" w:themeColor="text1"/>
                <w:sz w:val="16"/>
                <w:szCs w:val="15"/>
                <w:lang w:val="es-AR" w:eastAsia="es-AR"/>
              </w:rPr>
            </w:pPr>
            <w:r w:rsidRPr="00AB3EE6">
              <w:rPr>
                <w:b/>
                <w:bCs/>
                <w:color w:val="000000" w:themeColor="text1"/>
                <w:sz w:val="16"/>
                <w:lang w:val="es-AR" w:eastAsia="es-AR"/>
              </w:rPr>
              <w:t>Fecha de vencimiento</w:t>
            </w:r>
          </w:p>
        </w:tc>
      </w:tr>
      <w:tr w:rsidR="00AB3EE6" w:rsidRPr="00AB3EE6" w:rsidTr="00AB3EE6">
        <w:tc>
          <w:tcPr>
            <w:tcW w:w="2600"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hideMark/>
          </w:tcPr>
          <w:p w:rsidR="00AB3EE6" w:rsidRPr="00AB3EE6" w:rsidRDefault="00AB3EE6" w:rsidP="00AB3EE6">
            <w:pPr>
              <w:ind w:left="84" w:right="84"/>
              <w:jc w:val="center"/>
              <w:rPr>
                <w:color w:val="000000" w:themeColor="text1"/>
                <w:sz w:val="16"/>
                <w:szCs w:val="15"/>
                <w:lang w:val="es-AR" w:eastAsia="es-AR"/>
              </w:rPr>
            </w:pPr>
            <w:r w:rsidRPr="00AB3EE6">
              <w:rPr>
                <w:color w:val="000000" w:themeColor="text1"/>
                <w:sz w:val="16"/>
                <w:szCs w:val="15"/>
                <w:lang w:val="es-AR" w:eastAsia="es-AR"/>
              </w:rPr>
              <w:t>0, 1, 2 y 3</w:t>
            </w:r>
          </w:p>
        </w:tc>
        <w:tc>
          <w:tcPr>
            <w:tcW w:w="3685"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hideMark/>
          </w:tcPr>
          <w:p w:rsidR="00AB3EE6" w:rsidRPr="00AB3EE6" w:rsidRDefault="00AB3EE6" w:rsidP="00AB3EE6">
            <w:pPr>
              <w:ind w:left="84" w:right="84"/>
              <w:jc w:val="center"/>
              <w:rPr>
                <w:color w:val="000000" w:themeColor="text1"/>
                <w:sz w:val="16"/>
                <w:szCs w:val="15"/>
                <w:lang w:val="es-AR" w:eastAsia="es-AR"/>
              </w:rPr>
            </w:pPr>
            <w:r w:rsidRPr="00AB3EE6">
              <w:rPr>
                <w:color w:val="000000" w:themeColor="text1"/>
                <w:sz w:val="16"/>
                <w:szCs w:val="15"/>
                <w:lang w:val="es-AR" w:eastAsia="es-AR"/>
              </w:rPr>
              <w:t>20</w:t>
            </w:r>
          </w:p>
        </w:tc>
      </w:tr>
      <w:tr w:rsidR="00AB3EE6" w:rsidRPr="00AB3EE6" w:rsidTr="00AB3EE6">
        <w:tc>
          <w:tcPr>
            <w:tcW w:w="2600"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hideMark/>
          </w:tcPr>
          <w:p w:rsidR="00AB3EE6" w:rsidRPr="00AB3EE6" w:rsidRDefault="00AB3EE6" w:rsidP="00AB3EE6">
            <w:pPr>
              <w:ind w:left="84" w:right="84"/>
              <w:jc w:val="center"/>
              <w:rPr>
                <w:color w:val="000000" w:themeColor="text1"/>
                <w:sz w:val="16"/>
                <w:szCs w:val="15"/>
                <w:lang w:val="es-AR" w:eastAsia="es-AR"/>
              </w:rPr>
            </w:pPr>
            <w:r w:rsidRPr="00AB3EE6">
              <w:rPr>
                <w:color w:val="000000" w:themeColor="text1"/>
                <w:sz w:val="16"/>
                <w:szCs w:val="15"/>
                <w:lang w:val="es-AR" w:eastAsia="es-AR"/>
              </w:rPr>
              <w:t>4, 5 y 6</w:t>
            </w:r>
          </w:p>
        </w:tc>
        <w:tc>
          <w:tcPr>
            <w:tcW w:w="3685"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hideMark/>
          </w:tcPr>
          <w:p w:rsidR="00AB3EE6" w:rsidRPr="00AB3EE6" w:rsidRDefault="00AB3EE6" w:rsidP="00AB3EE6">
            <w:pPr>
              <w:ind w:left="84" w:right="84"/>
              <w:jc w:val="center"/>
              <w:rPr>
                <w:color w:val="000000" w:themeColor="text1"/>
                <w:sz w:val="16"/>
                <w:szCs w:val="15"/>
                <w:lang w:val="es-AR" w:eastAsia="es-AR"/>
              </w:rPr>
            </w:pPr>
            <w:r w:rsidRPr="00AB3EE6">
              <w:rPr>
                <w:color w:val="000000" w:themeColor="text1"/>
                <w:sz w:val="16"/>
                <w:szCs w:val="15"/>
                <w:lang w:val="es-AR" w:eastAsia="es-AR"/>
              </w:rPr>
              <w:t>21</w:t>
            </w:r>
          </w:p>
        </w:tc>
      </w:tr>
      <w:tr w:rsidR="00AB3EE6" w:rsidRPr="00AB3EE6" w:rsidTr="00AB3EE6">
        <w:tc>
          <w:tcPr>
            <w:tcW w:w="2600"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hideMark/>
          </w:tcPr>
          <w:p w:rsidR="00AB3EE6" w:rsidRPr="00AB3EE6" w:rsidRDefault="00AB3EE6" w:rsidP="00AB3EE6">
            <w:pPr>
              <w:ind w:left="84" w:right="84"/>
              <w:jc w:val="center"/>
              <w:rPr>
                <w:color w:val="000000" w:themeColor="text1"/>
                <w:sz w:val="16"/>
                <w:szCs w:val="15"/>
                <w:lang w:val="es-AR" w:eastAsia="es-AR"/>
              </w:rPr>
            </w:pPr>
            <w:r w:rsidRPr="00AB3EE6">
              <w:rPr>
                <w:color w:val="000000" w:themeColor="text1"/>
                <w:sz w:val="16"/>
                <w:szCs w:val="15"/>
                <w:lang w:val="es-AR" w:eastAsia="es-AR"/>
              </w:rPr>
              <w:t>7, 8 y 9</w:t>
            </w:r>
          </w:p>
        </w:tc>
        <w:tc>
          <w:tcPr>
            <w:tcW w:w="3685"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hideMark/>
          </w:tcPr>
          <w:p w:rsidR="00AB3EE6" w:rsidRPr="00AB3EE6" w:rsidRDefault="00AB3EE6" w:rsidP="00AB3EE6">
            <w:pPr>
              <w:ind w:left="84" w:right="84"/>
              <w:jc w:val="center"/>
              <w:rPr>
                <w:color w:val="000000" w:themeColor="text1"/>
                <w:sz w:val="16"/>
                <w:szCs w:val="15"/>
                <w:lang w:val="es-AR" w:eastAsia="es-AR"/>
              </w:rPr>
            </w:pPr>
            <w:r w:rsidRPr="00AB3EE6">
              <w:rPr>
                <w:color w:val="000000" w:themeColor="text1"/>
                <w:sz w:val="16"/>
                <w:szCs w:val="15"/>
                <w:lang w:val="es-AR" w:eastAsia="es-AR"/>
              </w:rPr>
              <w:t>22</w:t>
            </w:r>
          </w:p>
        </w:tc>
      </w:tr>
    </w:tbl>
    <w:p w:rsidR="00AB3EE6" w:rsidRPr="00AB3EE6" w:rsidRDefault="00AB3EE6" w:rsidP="00AB3EE6">
      <w:pPr>
        <w:spacing w:before="84" w:after="84"/>
        <w:ind w:left="84" w:right="84"/>
        <w:rPr>
          <w:color w:val="000000" w:themeColor="text1"/>
          <w:sz w:val="28"/>
          <w:szCs w:val="24"/>
          <w:lang w:val="es-AR" w:eastAsia="es-AR"/>
        </w:rPr>
      </w:pPr>
      <w:r w:rsidRPr="00AB3EE6">
        <w:rPr>
          <w:color w:val="000000" w:themeColor="text1"/>
          <w:sz w:val="28"/>
          <w:szCs w:val="24"/>
          <w:lang w:val="es-AR" w:eastAsia="es-AR"/>
        </w:rPr>
        <w:t> </w:t>
      </w:r>
    </w:p>
    <w:p w:rsidR="00AB3EE6" w:rsidRPr="00AB3EE6" w:rsidRDefault="00AB3EE6" w:rsidP="00AB3EE6">
      <w:pPr>
        <w:spacing w:before="80"/>
        <w:ind w:left="216" w:right="84"/>
        <w:jc w:val="both"/>
        <w:rPr>
          <w:color w:val="000000" w:themeColor="text1"/>
          <w:sz w:val="18"/>
          <w:szCs w:val="16"/>
          <w:lang w:val="es-AR" w:eastAsia="es-AR"/>
        </w:rPr>
      </w:pPr>
      <w:r w:rsidRPr="00AB3EE6">
        <w:rPr>
          <w:color w:val="000000" w:themeColor="text1"/>
          <w:sz w:val="18"/>
          <w:szCs w:val="16"/>
          <w:lang w:val="es-AR" w:eastAsia="es-AR"/>
        </w:rPr>
        <w:t>Cuando alguna de las fechas de vencimiento establecidas coincida con día feriado o inhábil, la misma, así como las posteriores, se trasladarán correlativamente al o a los días hábiles inmediatos siguientes”.</w:t>
      </w:r>
    </w:p>
    <w:p w:rsidR="00AB3EE6" w:rsidRPr="00AB3EE6" w:rsidRDefault="00AB3EE6" w:rsidP="00AB3EE6">
      <w:pPr>
        <w:spacing w:before="80"/>
        <w:ind w:left="84" w:right="84" w:firstLine="84"/>
        <w:jc w:val="both"/>
        <w:rPr>
          <w:color w:val="000000" w:themeColor="text1"/>
          <w:sz w:val="28"/>
          <w:szCs w:val="24"/>
          <w:lang w:val="es-AR" w:eastAsia="es-AR"/>
        </w:rPr>
      </w:pPr>
      <w:r w:rsidRPr="00AB3EE6">
        <w:rPr>
          <w:b/>
          <w:bCs/>
          <w:color w:val="000000" w:themeColor="text1"/>
          <w:sz w:val="18"/>
          <w:lang w:val="es-AR" w:eastAsia="es-AR"/>
        </w:rPr>
        <w:t>Art. 3 -</w:t>
      </w:r>
      <w:r w:rsidRPr="00AB3EE6">
        <w:rPr>
          <w:color w:val="000000" w:themeColor="text1"/>
          <w:sz w:val="18"/>
          <w:lang w:val="es-AR" w:eastAsia="es-AR"/>
        </w:rPr>
        <w:t> </w:t>
      </w:r>
      <w:proofErr w:type="spellStart"/>
      <w:r w:rsidRPr="00AB3EE6">
        <w:rPr>
          <w:color w:val="000000" w:themeColor="text1"/>
          <w:sz w:val="18"/>
          <w:szCs w:val="16"/>
          <w:lang w:val="es-AR" w:eastAsia="es-AR"/>
        </w:rPr>
        <w:t>Sustitúyese</w:t>
      </w:r>
      <w:proofErr w:type="spellEnd"/>
      <w:r w:rsidRPr="00AB3EE6">
        <w:rPr>
          <w:color w:val="000000" w:themeColor="text1"/>
          <w:sz w:val="18"/>
          <w:szCs w:val="16"/>
          <w:lang w:val="es-AR" w:eastAsia="es-AR"/>
        </w:rPr>
        <w:t xml:space="preserve"> el cuadro incorporado al primer párrafo del</w:t>
      </w:r>
      <w:r w:rsidRPr="00AB3EE6">
        <w:rPr>
          <w:color w:val="000000" w:themeColor="text1"/>
          <w:sz w:val="18"/>
          <w:lang w:val="es-AR" w:eastAsia="es-AR"/>
        </w:rPr>
        <w:t> artículo 6 de la resolución general 3293 </w:t>
      </w:r>
      <w:r w:rsidRPr="00AB3EE6">
        <w:rPr>
          <w:color w:val="000000" w:themeColor="text1"/>
          <w:sz w:val="18"/>
          <w:szCs w:val="16"/>
          <w:lang w:val="es-AR" w:eastAsia="es-AR"/>
        </w:rPr>
        <w:t>y su complementaria, por el siguiente:</w:t>
      </w:r>
      <w:r w:rsidRPr="00AB3EE6">
        <w:rPr>
          <w:color w:val="000000" w:themeColor="text1"/>
          <w:sz w:val="28"/>
          <w:szCs w:val="24"/>
          <w:lang w:val="es-AR" w:eastAsia="es-AR"/>
        </w:rPr>
        <w:t> </w:t>
      </w:r>
    </w:p>
    <w:tbl>
      <w:tblPr>
        <w:tblW w:w="628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2600"/>
        <w:gridCol w:w="3685"/>
      </w:tblGrid>
      <w:tr w:rsidR="00AB3EE6" w:rsidRPr="00AB3EE6" w:rsidTr="00AB3EE6">
        <w:tc>
          <w:tcPr>
            <w:tcW w:w="2600" w:type="dxa"/>
            <w:tcBorders>
              <w:top w:val="single" w:sz="12" w:space="0" w:color="000000"/>
              <w:left w:val="single" w:sz="4" w:space="0" w:color="000000"/>
              <w:bottom w:val="single" w:sz="4" w:space="0" w:color="000000"/>
              <w:right w:val="single" w:sz="4" w:space="0" w:color="000000"/>
            </w:tcBorders>
            <w:shd w:val="clear" w:color="auto" w:fill="A6A6A6"/>
            <w:tcMar>
              <w:top w:w="48" w:type="dxa"/>
              <w:left w:w="48" w:type="dxa"/>
              <w:bottom w:w="48" w:type="dxa"/>
              <w:right w:w="48" w:type="dxa"/>
            </w:tcMar>
            <w:vAlign w:val="center"/>
            <w:hideMark/>
          </w:tcPr>
          <w:p w:rsidR="00AB3EE6" w:rsidRPr="00AB3EE6" w:rsidRDefault="00AB3EE6" w:rsidP="00AB3EE6">
            <w:pPr>
              <w:ind w:left="84" w:right="84"/>
              <w:jc w:val="center"/>
              <w:rPr>
                <w:color w:val="000000" w:themeColor="text1"/>
                <w:sz w:val="16"/>
                <w:szCs w:val="15"/>
                <w:lang w:val="es-AR" w:eastAsia="es-AR"/>
              </w:rPr>
            </w:pPr>
            <w:r w:rsidRPr="00AB3EE6">
              <w:rPr>
                <w:b/>
                <w:bCs/>
                <w:color w:val="000000" w:themeColor="text1"/>
                <w:sz w:val="16"/>
                <w:lang w:val="es-AR" w:eastAsia="es-AR"/>
              </w:rPr>
              <w:t>Terminación CUIT</w:t>
            </w:r>
          </w:p>
        </w:tc>
        <w:tc>
          <w:tcPr>
            <w:tcW w:w="3685" w:type="dxa"/>
            <w:tcBorders>
              <w:top w:val="single" w:sz="12" w:space="0" w:color="000000"/>
              <w:left w:val="single" w:sz="4" w:space="0" w:color="000000"/>
              <w:bottom w:val="single" w:sz="4" w:space="0" w:color="000000"/>
              <w:right w:val="single" w:sz="4" w:space="0" w:color="000000"/>
            </w:tcBorders>
            <w:shd w:val="clear" w:color="auto" w:fill="A6A6A6"/>
            <w:tcMar>
              <w:top w:w="48" w:type="dxa"/>
              <w:left w:w="48" w:type="dxa"/>
              <w:bottom w:w="48" w:type="dxa"/>
              <w:right w:w="48" w:type="dxa"/>
            </w:tcMar>
            <w:vAlign w:val="center"/>
            <w:hideMark/>
          </w:tcPr>
          <w:p w:rsidR="00AB3EE6" w:rsidRPr="00AB3EE6" w:rsidRDefault="00AB3EE6" w:rsidP="00AB3EE6">
            <w:pPr>
              <w:ind w:left="84" w:right="84"/>
              <w:jc w:val="center"/>
              <w:rPr>
                <w:color w:val="000000" w:themeColor="text1"/>
                <w:sz w:val="16"/>
                <w:szCs w:val="15"/>
                <w:lang w:val="es-AR" w:eastAsia="es-AR"/>
              </w:rPr>
            </w:pPr>
            <w:r w:rsidRPr="00AB3EE6">
              <w:rPr>
                <w:b/>
                <w:bCs/>
                <w:color w:val="000000" w:themeColor="text1"/>
                <w:sz w:val="16"/>
                <w:lang w:val="es-AR" w:eastAsia="es-AR"/>
              </w:rPr>
              <w:t>Fecha de vencimiento</w:t>
            </w:r>
          </w:p>
        </w:tc>
      </w:tr>
      <w:tr w:rsidR="00AB3EE6" w:rsidRPr="00AB3EE6" w:rsidTr="00AB3EE6">
        <w:tc>
          <w:tcPr>
            <w:tcW w:w="2600"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hideMark/>
          </w:tcPr>
          <w:p w:rsidR="00AB3EE6" w:rsidRPr="00AB3EE6" w:rsidRDefault="00AB3EE6" w:rsidP="00AB3EE6">
            <w:pPr>
              <w:ind w:left="84" w:right="84"/>
              <w:jc w:val="center"/>
              <w:rPr>
                <w:color w:val="000000" w:themeColor="text1"/>
                <w:sz w:val="16"/>
                <w:szCs w:val="15"/>
                <w:lang w:val="es-AR" w:eastAsia="es-AR"/>
              </w:rPr>
            </w:pPr>
            <w:r w:rsidRPr="00AB3EE6">
              <w:rPr>
                <w:color w:val="000000" w:themeColor="text1"/>
                <w:sz w:val="16"/>
                <w:szCs w:val="15"/>
                <w:lang w:val="es-AR" w:eastAsia="es-AR"/>
              </w:rPr>
              <w:t>0, 1, 2 y 3</w:t>
            </w:r>
          </w:p>
        </w:tc>
        <w:tc>
          <w:tcPr>
            <w:tcW w:w="3685"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hideMark/>
          </w:tcPr>
          <w:p w:rsidR="00AB3EE6" w:rsidRPr="00AB3EE6" w:rsidRDefault="00AB3EE6" w:rsidP="00AB3EE6">
            <w:pPr>
              <w:ind w:left="84" w:right="84"/>
              <w:jc w:val="center"/>
              <w:rPr>
                <w:color w:val="000000" w:themeColor="text1"/>
                <w:sz w:val="16"/>
                <w:szCs w:val="15"/>
                <w:lang w:val="es-AR" w:eastAsia="es-AR"/>
              </w:rPr>
            </w:pPr>
            <w:r w:rsidRPr="00AB3EE6">
              <w:rPr>
                <w:color w:val="000000" w:themeColor="text1"/>
                <w:sz w:val="16"/>
                <w:szCs w:val="15"/>
                <w:lang w:val="es-AR" w:eastAsia="es-AR"/>
              </w:rPr>
              <w:t>Hasta el día 28 de julio, inclusive</w:t>
            </w:r>
          </w:p>
        </w:tc>
      </w:tr>
      <w:tr w:rsidR="00AB3EE6" w:rsidRPr="00AB3EE6" w:rsidTr="00AB3EE6">
        <w:tc>
          <w:tcPr>
            <w:tcW w:w="2600"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hideMark/>
          </w:tcPr>
          <w:p w:rsidR="00AB3EE6" w:rsidRPr="00AB3EE6" w:rsidRDefault="00AB3EE6" w:rsidP="00AB3EE6">
            <w:pPr>
              <w:ind w:left="84" w:right="84"/>
              <w:jc w:val="center"/>
              <w:rPr>
                <w:color w:val="000000" w:themeColor="text1"/>
                <w:sz w:val="16"/>
                <w:szCs w:val="15"/>
                <w:lang w:val="es-AR" w:eastAsia="es-AR"/>
              </w:rPr>
            </w:pPr>
            <w:r w:rsidRPr="00AB3EE6">
              <w:rPr>
                <w:color w:val="000000" w:themeColor="text1"/>
                <w:sz w:val="16"/>
                <w:szCs w:val="15"/>
                <w:lang w:val="es-AR" w:eastAsia="es-AR"/>
              </w:rPr>
              <w:t>4, 5 y 6</w:t>
            </w:r>
          </w:p>
        </w:tc>
        <w:tc>
          <w:tcPr>
            <w:tcW w:w="3685"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hideMark/>
          </w:tcPr>
          <w:p w:rsidR="00AB3EE6" w:rsidRPr="00AB3EE6" w:rsidRDefault="00AB3EE6" w:rsidP="00AB3EE6">
            <w:pPr>
              <w:ind w:left="84" w:right="84"/>
              <w:jc w:val="center"/>
              <w:rPr>
                <w:color w:val="000000" w:themeColor="text1"/>
                <w:sz w:val="16"/>
                <w:szCs w:val="15"/>
                <w:lang w:val="es-AR" w:eastAsia="es-AR"/>
              </w:rPr>
            </w:pPr>
            <w:r w:rsidRPr="00AB3EE6">
              <w:rPr>
                <w:color w:val="000000" w:themeColor="text1"/>
                <w:sz w:val="16"/>
                <w:szCs w:val="15"/>
                <w:lang w:val="es-AR" w:eastAsia="es-AR"/>
              </w:rPr>
              <w:t>Hasta el día 29 de julio, inclusive</w:t>
            </w:r>
          </w:p>
        </w:tc>
      </w:tr>
      <w:tr w:rsidR="00AB3EE6" w:rsidRPr="00AB3EE6" w:rsidTr="00AB3EE6">
        <w:tc>
          <w:tcPr>
            <w:tcW w:w="2600"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hideMark/>
          </w:tcPr>
          <w:p w:rsidR="00AB3EE6" w:rsidRPr="00AB3EE6" w:rsidRDefault="00AB3EE6" w:rsidP="00AB3EE6">
            <w:pPr>
              <w:ind w:left="84" w:right="84"/>
              <w:jc w:val="center"/>
              <w:rPr>
                <w:color w:val="000000" w:themeColor="text1"/>
                <w:sz w:val="16"/>
                <w:szCs w:val="15"/>
                <w:lang w:val="es-AR" w:eastAsia="es-AR"/>
              </w:rPr>
            </w:pPr>
            <w:r w:rsidRPr="00AB3EE6">
              <w:rPr>
                <w:color w:val="000000" w:themeColor="text1"/>
                <w:sz w:val="16"/>
                <w:szCs w:val="15"/>
                <w:lang w:val="es-AR" w:eastAsia="es-AR"/>
              </w:rPr>
              <w:t>7, 8 y 9</w:t>
            </w:r>
          </w:p>
        </w:tc>
        <w:tc>
          <w:tcPr>
            <w:tcW w:w="3685"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hideMark/>
          </w:tcPr>
          <w:p w:rsidR="00AB3EE6" w:rsidRPr="00AB3EE6" w:rsidRDefault="00AB3EE6" w:rsidP="00AB3EE6">
            <w:pPr>
              <w:ind w:left="84" w:right="84"/>
              <w:jc w:val="center"/>
              <w:rPr>
                <w:color w:val="000000" w:themeColor="text1"/>
                <w:sz w:val="16"/>
                <w:szCs w:val="15"/>
                <w:lang w:val="es-AR" w:eastAsia="es-AR"/>
              </w:rPr>
            </w:pPr>
            <w:r w:rsidRPr="00AB3EE6">
              <w:rPr>
                <w:color w:val="000000" w:themeColor="text1"/>
                <w:sz w:val="16"/>
                <w:szCs w:val="15"/>
                <w:lang w:val="es-AR" w:eastAsia="es-AR"/>
              </w:rPr>
              <w:t>Hasta el día 30 de julio, inclusive</w:t>
            </w:r>
          </w:p>
        </w:tc>
      </w:tr>
    </w:tbl>
    <w:p w:rsidR="00AB3EE6" w:rsidRPr="00AB3EE6" w:rsidRDefault="00AB3EE6" w:rsidP="00AB3EE6">
      <w:pPr>
        <w:spacing w:before="84" w:after="84"/>
        <w:ind w:left="84" w:right="84"/>
        <w:rPr>
          <w:color w:val="000000" w:themeColor="text1"/>
          <w:sz w:val="18"/>
          <w:szCs w:val="16"/>
          <w:lang w:val="es-AR" w:eastAsia="es-AR"/>
        </w:rPr>
      </w:pPr>
      <w:r w:rsidRPr="00AB3EE6">
        <w:rPr>
          <w:color w:val="000000" w:themeColor="text1"/>
          <w:sz w:val="28"/>
          <w:szCs w:val="24"/>
          <w:lang w:val="es-AR" w:eastAsia="es-AR"/>
        </w:rPr>
        <w:t> </w:t>
      </w:r>
      <w:r w:rsidRPr="00AB3EE6">
        <w:rPr>
          <w:b/>
          <w:bCs/>
          <w:color w:val="000000" w:themeColor="text1"/>
          <w:sz w:val="18"/>
          <w:lang w:val="es-AR" w:eastAsia="es-AR"/>
        </w:rPr>
        <w:t>Art. 4 -</w:t>
      </w:r>
      <w:r w:rsidRPr="00AB3EE6">
        <w:rPr>
          <w:color w:val="000000" w:themeColor="text1"/>
          <w:sz w:val="18"/>
          <w:lang w:val="es-AR" w:eastAsia="es-AR"/>
        </w:rPr>
        <w:t> </w:t>
      </w:r>
      <w:r w:rsidRPr="00AB3EE6">
        <w:rPr>
          <w:color w:val="000000" w:themeColor="text1"/>
          <w:sz w:val="18"/>
          <w:szCs w:val="16"/>
          <w:lang w:val="es-AR" w:eastAsia="es-AR"/>
        </w:rPr>
        <w:t>Las disposiciones de la presente resolución general entrarán en vigencia el día de su publicación en el Boletín Oficial.</w:t>
      </w:r>
    </w:p>
    <w:p w:rsidR="00AB3EE6" w:rsidRPr="00AB3EE6" w:rsidRDefault="00AB3EE6" w:rsidP="00AB3EE6">
      <w:pPr>
        <w:spacing w:before="80"/>
        <w:ind w:left="84" w:right="84" w:firstLine="84"/>
        <w:jc w:val="both"/>
        <w:rPr>
          <w:color w:val="000000" w:themeColor="text1"/>
          <w:sz w:val="18"/>
          <w:szCs w:val="16"/>
          <w:lang w:val="es-AR" w:eastAsia="es-AR"/>
        </w:rPr>
      </w:pPr>
      <w:r w:rsidRPr="00AB3EE6">
        <w:rPr>
          <w:b/>
          <w:bCs/>
          <w:color w:val="000000" w:themeColor="text1"/>
          <w:sz w:val="18"/>
          <w:lang w:val="es-AR" w:eastAsia="es-AR"/>
        </w:rPr>
        <w:t>Art. 5 -</w:t>
      </w:r>
      <w:r w:rsidRPr="00AB3EE6">
        <w:rPr>
          <w:color w:val="000000" w:themeColor="text1"/>
          <w:sz w:val="18"/>
          <w:lang w:val="es-AR" w:eastAsia="es-AR"/>
        </w:rPr>
        <w:t> </w:t>
      </w:r>
      <w:r w:rsidRPr="00AB3EE6">
        <w:rPr>
          <w:color w:val="000000" w:themeColor="text1"/>
          <w:sz w:val="18"/>
          <w:szCs w:val="16"/>
          <w:lang w:val="es-AR" w:eastAsia="es-AR"/>
        </w:rPr>
        <w:t>De forma.</w:t>
      </w:r>
    </w:p>
    <w:p w:rsidR="00AB3EE6" w:rsidRPr="00AB3EE6" w:rsidRDefault="00AB3EE6" w:rsidP="00AB3EE6">
      <w:pPr>
        <w:rPr>
          <w:iCs/>
          <w:color w:val="000000" w:themeColor="text1"/>
          <w:sz w:val="24"/>
          <w:szCs w:val="22"/>
          <w:lang w:val="es-AR" w:eastAsia="es-AR"/>
        </w:rPr>
      </w:pPr>
    </w:p>
    <w:sectPr w:rsidR="00AB3EE6" w:rsidRPr="00AB3EE6" w:rsidSect="00AB3EE6">
      <w:pgSz w:w="12240" w:h="15840"/>
      <w:pgMar w:top="284" w:right="90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6BF1"/>
    <w:rsid w:val="000135DF"/>
    <w:rsid w:val="00015072"/>
    <w:rsid w:val="00021D2C"/>
    <w:rsid w:val="000276CD"/>
    <w:rsid w:val="00032750"/>
    <w:rsid w:val="00035D1B"/>
    <w:rsid w:val="00046302"/>
    <w:rsid w:val="000531C0"/>
    <w:rsid w:val="00083E8B"/>
    <w:rsid w:val="00085B8C"/>
    <w:rsid w:val="00097BC2"/>
    <w:rsid w:val="000A5EF2"/>
    <w:rsid w:val="000E16EE"/>
    <w:rsid w:val="000E2009"/>
    <w:rsid w:val="000E36C6"/>
    <w:rsid w:val="001209FC"/>
    <w:rsid w:val="001271B9"/>
    <w:rsid w:val="00136BCC"/>
    <w:rsid w:val="00162F14"/>
    <w:rsid w:val="0016672C"/>
    <w:rsid w:val="00166DD5"/>
    <w:rsid w:val="001768A5"/>
    <w:rsid w:val="00181140"/>
    <w:rsid w:val="001818EF"/>
    <w:rsid w:val="00186192"/>
    <w:rsid w:val="00186FB8"/>
    <w:rsid w:val="001C5894"/>
    <w:rsid w:val="001D73E9"/>
    <w:rsid w:val="001E6D00"/>
    <w:rsid w:val="001F48B9"/>
    <w:rsid w:val="00226064"/>
    <w:rsid w:val="00234C9E"/>
    <w:rsid w:val="0024245B"/>
    <w:rsid w:val="00254DC4"/>
    <w:rsid w:val="0027160B"/>
    <w:rsid w:val="0027651D"/>
    <w:rsid w:val="00294E84"/>
    <w:rsid w:val="002A386F"/>
    <w:rsid w:val="002C00A2"/>
    <w:rsid w:val="002F3EC1"/>
    <w:rsid w:val="002F4542"/>
    <w:rsid w:val="003048CA"/>
    <w:rsid w:val="003115F1"/>
    <w:rsid w:val="00314F37"/>
    <w:rsid w:val="0033557D"/>
    <w:rsid w:val="00335E19"/>
    <w:rsid w:val="003425B8"/>
    <w:rsid w:val="00367ED7"/>
    <w:rsid w:val="00371A9E"/>
    <w:rsid w:val="00380581"/>
    <w:rsid w:val="00383D78"/>
    <w:rsid w:val="003857F0"/>
    <w:rsid w:val="003860F3"/>
    <w:rsid w:val="0039675E"/>
    <w:rsid w:val="003A0EC8"/>
    <w:rsid w:val="003E1E7C"/>
    <w:rsid w:val="003E4C4D"/>
    <w:rsid w:val="003F75DC"/>
    <w:rsid w:val="00413756"/>
    <w:rsid w:val="004152CD"/>
    <w:rsid w:val="004312CF"/>
    <w:rsid w:val="004609B8"/>
    <w:rsid w:val="00464BA6"/>
    <w:rsid w:val="00491DD6"/>
    <w:rsid w:val="004A6C0E"/>
    <w:rsid w:val="004A72A1"/>
    <w:rsid w:val="004C7C78"/>
    <w:rsid w:val="004F4A06"/>
    <w:rsid w:val="00515FAA"/>
    <w:rsid w:val="00533750"/>
    <w:rsid w:val="005558F0"/>
    <w:rsid w:val="00573AE5"/>
    <w:rsid w:val="00590461"/>
    <w:rsid w:val="00594282"/>
    <w:rsid w:val="00596BCF"/>
    <w:rsid w:val="005B02C4"/>
    <w:rsid w:val="005D13A6"/>
    <w:rsid w:val="005E618E"/>
    <w:rsid w:val="00621D1D"/>
    <w:rsid w:val="00643889"/>
    <w:rsid w:val="00645485"/>
    <w:rsid w:val="006501F3"/>
    <w:rsid w:val="0065590A"/>
    <w:rsid w:val="006A3DE0"/>
    <w:rsid w:val="006A3FA2"/>
    <w:rsid w:val="006B37F5"/>
    <w:rsid w:val="006D5457"/>
    <w:rsid w:val="006F3268"/>
    <w:rsid w:val="007141DC"/>
    <w:rsid w:val="00722CBA"/>
    <w:rsid w:val="00732186"/>
    <w:rsid w:val="00755EE1"/>
    <w:rsid w:val="00771B45"/>
    <w:rsid w:val="007B4907"/>
    <w:rsid w:val="007B77E7"/>
    <w:rsid w:val="007E65D9"/>
    <w:rsid w:val="007E6CA5"/>
    <w:rsid w:val="00807569"/>
    <w:rsid w:val="0081222A"/>
    <w:rsid w:val="00813684"/>
    <w:rsid w:val="0082517D"/>
    <w:rsid w:val="00837F8F"/>
    <w:rsid w:val="00844810"/>
    <w:rsid w:val="0085600C"/>
    <w:rsid w:val="008609EA"/>
    <w:rsid w:val="0087469D"/>
    <w:rsid w:val="0087523D"/>
    <w:rsid w:val="008B7241"/>
    <w:rsid w:val="008D6B7E"/>
    <w:rsid w:val="008F4DBD"/>
    <w:rsid w:val="008F5DD9"/>
    <w:rsid w:val="00905575"/>
    <w:rsid w:val="00952709"/>
    <w:rsid w:val="00957465"/>
    <w:rsid w:val="00976699"/>
    <w:rsid w:val="009A2F2C"/>
    <w:rsid w:val="009A4D8D"/>
    <w:rsid w:val="009A4F37"/>
    <w:rsid w:val="009A73CD"/>
    <w:rsid w:val="009B287A"/>
    <w:rsid w:val="009B2FA0"/>
    <w:rsid w:val="009B643E"/>
    <w:rsid w:val="009F0083"/>
    <w:rsid w:val="009F16B9"/>
    <w:rsid w:val="00A04CFE"/>
    <w:rsid w:val="00A12652"/>
    <w:rsid w:val="00A404E5"/>
    <w:rsid w:val="00A56BF1"/>
    <w:rsid w:val="00A633D3"/>
    <w:rsid w:val="00A90B98"/>
    <w:rsid w:val="00A92110"/>
    <w:rsid w:val="00AB3652"/>
    <w:rsid w:val="00AB3EE6"/>
    <w:rsid w:val="00AC0679"/>
    <w:rsid w:val="00AC5C91"/>
    <w:rsid w:val="00AD10A6"/>
    <w:rsid w:val="00AE5AFD"/>
    <w:rsid w:val="00B44DA9"/>
    <w:rsid w:val="00B5545C"/>
    <w:rsid w:val="00B940A0"/>
    <w:rsid w:val="00BC3CD8"/>
    <w:rsid w:val="00BD0868"/>
    <w:rsid w:val="00BD3532"/>
    <w:rsid w:val="00BE2114"/>
    <w:rsid w:val="00BF7E10"/>
    <w:rsid w:val="00C13C2E"/>
    <w:rsid w:val="00C155BD"/>
    <w:rsid w:val="00C225EA"/>
    <w:rsid w:val="00C24944"/>
    <w:rsid w:val="00C251E2"/>
    <w:rsid w:val="00C51E6A"/>
    <w:rsid w:val="00C63801"/>
    <w:rsid w:val="00CA4E17"/>
    <w:rsid w:val="00CA516F"/>
    <w:rsid w:val="00CB5F62"/>
    <w:rsid w:val="00CD2B77"/>
    <w:rsid w:val="00CE0A06"/>
    <w:rsid w:val="00CF39FF"/>
    <w:rsid w:val="00CF7C1D"/>
    <w:rsid w:val="00D003AE"/>
    <w:rsid w:val="00D03303"/>
    <w:rsid w:val="00D03B5F"/>
    <w:rsid w:val="00D41274"/>
    <w:rsid w:val="00D54CE9"/>
    <w:rsid w:val="00D60743"/>
    <w:rsid w:val="00D72B5E"/>
    <w:rsid w:val="00DB558F"/>
    <w:rsid w:val="00DC3BEB"/>
    <w:rsid w:val="00DF7DFA"/>
    <w:rsid w:val="00E07C96"/>
    <w:rsid w:val="00E32EFA"/>
    <w:rsid w:val="00E66BDC"/>
    <w:rsid w:val="00E85D10"/>
    <w:rsid w:val="00EA428C"/>
    <w:rsid w:val="00EA6221"/>
    <w:rsid w:val="00ED121B"/>
    <w:rsid w:val="00ED2700"/>
    <w:rsid w:val="00ED7E74"/>
    <w:rsid w:val="00EE4316"/>
    <w:rsid w:val="00F2473D"/>
    <w:rsid w:val="00F31FE9"/>
    <w:rsid w:val="00F51408"/>
    <w:rsid w:val="00F84B8B"/>
    <w:rsid w:val="00F857E6"/>
    <w:rsid w:val="00F97392"/>
    <w:rsid w:val="00FB2136"/>
    <w:rsid w:val="00FF1F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F1"/>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56BF1"/>
    <w:pPr>
      <w:spacing w:before="120"/>
      <w:jc w:val="center"/>
    </w:pPr>
    <w:rPr>
      <w:rFonts w:ascii="Bookman Old Style" w:hAnsi="Bookman Old Style"/>
      <w:b/>
      <w:sz w:val="48"/>
    </w:rPr>
  </w:style>
  <w:style w:type="character" w:customStyle="1" w:styleId="TtuloCar">
    <w:name w:val="Título Car"/>
    <w:basedOn w:val="Fuentedeprrafopredeter"/>
    <w:link w:val="Ttulo"/>
    <w:rsid w:val="00A56BF1"/>
    <w:rPr>
      <w:rFonts w:ascii="Bookman Old Style" w:eastAsia="Times New Roman" w:hAnsi="Bookman Old Style" w:cs="Times New Roman"/>
      <w:b/>
      <w:sz w:val="48"/>
      <w:szCs w:val="20"/>
      <w:lang w:val="es-ES" w:eastAsia="es-ES"/>
    </w:rPr>
  </w:style>
  <w:style w:type="character" w:customStyle="1" w:styleId="apple-converted-space">
    <w:name w:val="apple-converted-space"/>
    <w:basedOn w:val="Fuentedeprrafopredeter"/>
    <w:rsid w:val="00A56BF1"/>
  </w:style>
  <w:style w:type="paragraph" w:styleId="Textodeglobo">
    <w:name w:val="Balloon Text"/>
    <w:basedOn w:val="Normal"/>
    <w:link w:val="TextodegloboCar"/>
    <w:uiPriority w:val="99"/>
    <w:semiHidden/>
    <w:unhideWhenUsed/>
    <w:rsid w:val="00A56BF1"/>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BF1"/>
    <w:rPr>
      <w:rFonts w:ascii="Tahoma" w:eastAsia="Times New Roman" w:hAnsi="Tahoma" w:cs="Tahoma"/>
      <w:sz w:val="16"/>
      <w:szCs w:val="16"/>
      <w:lang w:val="es-ES" w:eastAsia="es-ES"/>
    </w:rPr>
  </w:style>
  <w:style w:type="character" w:styleId="Textoennegrita">
    <w:name w:val="Strong"/>
    <w:basedOn w:val="Fuentedeprrafopredeter"/>
    <w:uiPriority w:val="22"/>
    <w:qFormat/>
    <w:rsid w:val="002C00A2"/>
    <w:rPr>
      <w:b/>
      <w:bCs/>
    </w:rPr>
  </w:style>
  <w:style w:type="paragraph" w:customStyle="1" w:styleId="sangrianovedades">
    <w:name w:val="sangrianovedades"/>
    <w:basedOn w:val="Normal"/>
    <w:rsid w:val="00722CBA"/>
    <w:pPr>
      <w:spacing w:before="100" w:beforeAutospacing="1" w:after="100" w:afterAutospacing="1"/>
    </w:pPr>
    <w:rPr>
      <w:sz w:val="24"/>
      <w:szCs w:val="24"/>
      <w:lang w:val="es-AR" w:eastAsia="es-AR"/>
    </w:rPr>
  </w:style>
  <w:style w:type="character" w:customStyle="1" w:styleId="negritanovedades">
    <w:name w:val="negritanovedades"/>
    <w:basedOn w:val="Fuentedeprrafopredeter"/>
    <w:rsid w:val="00722CBA"/>
  </w:style>
  <w:style w:type="paragraph" w:customStyle="1" w:styleId="textocentradonegritanovedades">
    <w:name w:val="textocentradonegritanovedades"/>
    <w:basedOn w:val="Normal"/>
    <w:rsid w:val="00722CBA"/>
    <w:pPr>
      <w:spacing w:before="100" w:beforeAutospacing="1" w:after="100" w:afterAutospacing="1"/>
    </w:pPr>
    <w:rPr>
      <w:sz w:val="24"/>
      <w:szCs w:val="24"/>
      <w:lang w:val="es-AR" w:eastAsia="es-AR"/>
    </w:rPr>
  </w:style>
  <w:style w:type="paragraph" w:customStyle="1" w:styleId="errepar1erfrancesnovedades">
    <w:name w:val="errepar_1erfrancesnovedades"/>
    <w:basedOn w:val="Normal"/>
    <w:rsid w:val="00722CBA"/>
    <w:pPr>
      <w:spacing w:before="100" w:beforeAutospacing="1" w:after="100" w:afterAutospacing="1"/>
    </w:pPr>
    <w:rPr>
      <w:sz w:val="24"/>
      <w:szCs w:val="24"/>
      <w:lang w:val="es-AR" w:eastAsia="es-AR"/>
    </w:rPr>
  </w:style>
  <w:style w:type="paragraph" w:customStyle="1" w:styleId="errepar2dofrancesnovedades">
    <w:name w:val="errepar_2dofrancesnovedades"/>
    <w:basedOn w:val="Normal"/>
    <w:rsid w:val="00722CBA"/>
    <w:pPr>
      <w:spacing w:before="100" w:beforeAutospacing="1" w:after="100" w:afterAutospacing="1"/>
    </w:pPr>
    <w:rPr>
      <w:sz w:val="24"/>
      <w:szCs w:val="24"/>
      <w:lang w:val="es-AR" w:eastAsia="es-AR"/>
    </w:rPr>
  </w:style>
  <w:style w:type="character" w:customStyle="1" w:styleId="hipervnculo">
    <w:name w:val="hipervnculo"/>
    <w:basedOn w:val="Fuentedeprrafopredeter"/>
    <w:rsid w:val="00722CBA"/>
  </w:style>
  <w:style w:type="paragraph" w:customStyle="1" w:styleId="textoderechanovedades">
    <w:name w:val="textoderechanovedades"/>
    <w:basedOn w:val="Normal"/>
    <w:rsid w:val="00722CBA"/>
    <w:pPr>
      <w:spacing w:before="100" w:beforeAutospacing="1" w:after="100" w:afterAutospacing="1"/>
    </w:pPr>
    <w:rPr>
      <w:sz w:val="24"/>
      <w:szCs w:val="24"/>
      <w:lang w:val="es-AR" w:eastAsia="es-AR"/>
    </w:rPr>
  </w:style>
  <w:style w:type="paragraph" w:styleId="NormalWeb">
    <w:name w:val="Normal (Web)"/>
    <w:basedOn w:val="Normal"/>
    <w:uiPriority w:val="99"/>
    <w:semiHidden/>
    <w:unhideWhenUsed/>
    <w:rsid w:val="00722CBA"/>
    <w:pPr>
      <w:spacing w:before="100" w:beforeAutospacing="1" w:after="100" w:afterAutospacing="1"/>
    </w:pPr>
    <w:rPr>
      <w:sz w:val="24"/>
      <w:szCs w:val="24"/>
      <w:lang w:val="es-AR" w:eastAsia="es-AR"/>
    </w:rPr>
  </w:style>
  <w:style w:type="paragraph" w:customStyle="1" w:styleId="textonovedades">
    <w:name w:val="textonovedades"/>
    <w:basedOn w:val="Normal"/>
    <w:rsid w:val="00722CBA"/>
    <w:pPr>
      <w:spacing w:before="100" w:beforeAutospacing="1" w:after="100" w:afterAutospacing="1"/>
    </w:pPr>
    <w:rPr>
      <w:sz w:val="24"/>
      <w:szCs w:val="24"/>
      <w:lang w:val="es-AR" w:eastAsia="es-AR"/>
    </w:rPr>
  </w:style>
  <w:style w:type="character" w:customStyle="1" w:styleId="sumarionovedades">
    <w:name w:val="sumarionovedades"/>
    <w:basedOn w:val="Fuentedeprrafopredeter"/>
    <w:rsid w:val="00755EE1"/>
  </w:style>
  <w:style w:type="character" w:customStyle="1" w:styleId="highlight">
    <w:name w:val="highlight"/>
    <w:basedOn w:val="Fuentedeprrafopredeter"/>
    <w:rsid w:val="00755EE1"/>
  </w:style>
  <w:style w:type="character" w:customStyle="1" w:styleId="negritasubrayado">
    <w:name w:val="negritasubrayado"/>
    <w:basedOn w:val="Fuentedeprrafopredeter"/>
    <w:rsid w:val="00755EE1"/>
  </w:style>
  <w:style w:type="character" w:styleId="Hipervnculo0">
    <w:name w:val="Hyperlink"/>
    <w:basedOn w:val="Fuentedeprrafopredeter"/>
    <w:uiPriority w:val="99"/>
    <w:unhideWhenUsed/>
    <w:rsid w:val="00E85D10"/>
    <w:rPr>
      <w:color w:val="0000FF" w:themeColor="hyperlink"/>
      <w:u w:val="single"/>
    </w:rPr>
  </w:style>
  <w:style w:type="character" w:styleId="Hipervnculovisitado">
    <w:name w:val="FollowedHyperlink"/>
    <w:basedOn w:val="Fuentedeprrafopredeter"/>
    <w:uiPriority w:val="99"/>
    <w:semiHidden/>
    <w:unhideWhenUsed/>
    <w:rsid w:val="00E85D10"/>
    <w:rPr>
      <w:color w:val="800080" w:themeColor="followedHyperlink"/>
      <w:u w:val="single"/>
    </w:rPr>
  </w:style>
  <w:style w:type="paragraph" w:customStyle="1" w:styleId="tablacentrado8">
    <w:name w:val="tablacentrado8"/>
    <w:basedOn w:val="Normal"/>
    <w:rsid w:val="003F75DC"/>
    <w:pPr>
      <w:spacing w:before="100" w:beforeAutospacing="1" w:after="100" w:afterAutospacing="1"/>
    </w:pPr>
    <w:rPr>
      <w:sz w:val="24"/>
      <w:szCs w:val="24"/>
      <w:lang w:val="es-AR" w:eastAsia="es-AR"/>
    </w:rPr>
  </w:style>
  <w:style w:type="paragraph" w:customStyle="1" w:styleId="analisis">
    <w:name w:val="analisis"/>
    <w:basedOn w:val="Normal"/>
    <w:rsid w:val="008D6B7E"/>
    <w:pPr>
      <w:spacing w:before="100" w:beforeAutospacing="1" w:after="100" w:afterAutospacing="1"/>
    </w:pPr>
    <w:rPr>
      <w:sz w:val="24"/>
      <w:szCs w:val="24"/>
      <w:lang w:val="es-AR" w:eastAsia="es-AR"/>
    </w:rPr>
  </w:style>
  <w:style w:type="character" w:styleId="nfasis">
    <w:name w:val="Emphasis"/>
    <w:basedOn w:val="Fuentedeprrafopredeter"/>
    <w:uiPriority w:val="20"/>
    <w:qFormat/>
    <w:rsid w:val="00464BA6"/>
    <w:rPr>
      <w:i/>
      <w:iCs/>
    </w:rPr>
  </w:style>
  <w:style w:type="paragraph" w:customStyle="1" w:styleId="errepar3erfrancesnovedades">
    <w:name w:val="errepar_3erfrancesnovedades"/>
    <w:basedOn w:val="Normal"/>
    <w:rsid w:val="00AB3EE6"/>
    <w:pPr>
      <w:spacing w:before="100" w:beforeAutospacing="1" w:after="100" w:afterAutospacing="1"/>
    </w:pPr>
    <w:rPr>
      <w:sz w:val="24"/>
      <w:szCs w:val="24"/>
      <w:lang w:val="es-AR" w:eastAsia="es-AR"/>
    </w:rPr>
  </w:style>
</w:styles>
</file>

<file path=word/webSettings.xml><?xml version="1.0" encoding="utf-8"?>
<w:webSettings xmlns:r="http://schemas.openxmlformats.org/officeDocument/2006/relationships" xmlns:w="http://schemas.openxmlformats.org/wordprocessingml/2006/main">
  <w:divs>
    <w:div w:id="19429251">
      <w:bodyDiv w:val="1"/>
      <w:marLeft w:val="0"/>
      <w:marRight w:val="0"/>
      <w:marTop w:val="0"/>
      <w:marBottom w:val="0"/>
      <w:divBdr>
        <w:top w:val="none" w:sz="0" w:space="0" w:color="auto"/>
        <w:left w:val="none" w:sz="0" w:space="0" w:color="auto"/>
        <w:bottom w:val="none" w:sz="0" w:space="0" w:color="auto"/>
        <w:right w:val="none" w:sz="0" w:space="0" w:color="auto"/>
      </w:divBdr>
    </w:div>
    <w:div w:id="38748856">
      <w:bodyDiv w:val="1"/>
      <w:marLeft w:val="0"/>
      <w:marRight w:val="0"/>
      <w:marTop w:val="0"/>
      <w:marBottom w:val="0"/>
      <w:divBdr>
        <w:top w:val="none" w:sz="0" w:space="0" w:color="auto"/>
        <w:left w:val="none" w:sz="0" w:space="0" w:color="auto"/>
        <w:bottom w:val="none" w:sz="0" w:space="0" w:color="auto"/>
        <w:right w:val="none" w:sz="0" w:space="0" w:color="auto"/>
      </w:divBdr>
    </w:div>
    <w:div w:id="182132179">
      <w:bodyDiv w:val="1"/>
      <w:marLeft w:val="0"/>
      <w:marRight w:val="0"/>
      <w:marTop w:val="0"/>
      <w:marBottom w:val="0"/>
      <w:divBdr>
        <w:top w:val="none" w:sz="0" w:space="0" w:color="auto"/>
        <w:left w:val="none" w:sz="0" w:space="0" w:color="auto"/>
        <w:bottom w:val="none" w:sz="0" w:space="0" w:color="auto"/>
        <w:right w:val="none" w:sz="0" w:space="0" w:color="auto"/>
      </w:divBdr>
    </w:div>
    <w:div w:id="197548148">
      <w:bodyDiv w:val="1"/>
      <w:marLeft w:val="0"/>
      <w:marRight w:val="0"/>
      <w:marTop w:val="0"/>
      <w:marBottom w:val="0"/>
      <w:divBdr>
        <w:top w:val="none" w:sz="0" w:space="0" w:color="auto"/>
        <w:left w:val="none" w:sz="0" w:space="0" w:color="auto"/>
        <w:bottom w:val="none" w:sz="0" w:space="0" w:color="auto"/>
        <w:right w:val="none" w:sz="0" w:space="0" w:color="auto"/>
      </w:divBdr>
    </w:div>
    <w:div w:id="244457633">
      <w:bodyDiv w:val="1"/>
      <w:marLeft w:val="0"/>
      <w:marRight w:val="0"/>
      <w:marTop w:val="0"/>
      <w:marBottom w:val="0"/>
      <w:divBdr>
        <w:top w:val="none" w:sz="0" w:space="0" w:color="auto"/>
        <w:left w:val="none" w:sz="0" w:space="0" w:color="auto"/>
        <w:bottom w:val="none" w:sz="0" w:space="0" w:color="auto"/>
        <w:right w:val="none" w:sz="0" w:space="0" w:color="auto"/>
      </w:divBdr>
      <w:divsChild>
        <w:div w:id="1682703089">
          <w:marLeft w:val="0"/>
          <w:marRight w:val="0"/>
          <w:marTop w:val="0"/>
          <w:marBottom w:val="0"/>
          <w:divBdr>
            <w:top w:val="none" w:sz="0" w:space="0" w:color="auto"/>
            <w:left w:val="none" w:sz="0" w:space="0" w:color="auto"/>
            <w:bottom w:val="none" w:sz="0" w:space="0" w:color="auto"/>
            <w:right w:val="none" w:sz="0" w:space="0" w:color="auto"/>
          </w:divBdr>
        </w:div>
        <w:div w:id="1763141303">
          <w:marLeft w:val="0"/>
          <w:marRight w:val="0"/>
          <w:marTop w:val="0"/>
          <w:marBottom w:val="0"/>
          <w:divBdr>
            <w:top w:val="none" w:sz="0" w:space="0" w:color="auto"/>
            <w:left w:val="none" w:sz="0" w:space="0" w:color="auto"/>
            <w:bottom w:val="none" w:sz="0" w:space="0" w:color="auto"/>
            <w:right w:val="none" w:sz="0" w:space="0" w:color="auto"/>
          </w:divBdr>
        </w:div>
        <w:div w:id="237713896">
          <w:marLeft w:val="0"/>
          <w:marRight w:val="0"/>
          <w:marTop w:val="0"/>
          <w:marBottom w:val="0"/>
          <w:divBdr>
            <w:top w:val="none" w:sz="0" w:space="0" w:color="auto"/>
            <w:left w:val="none" w:sz="0" w:space="0" w:color="auto"/>
            <w:bottom w:val="none" w:sz="0" w:space="0" w:color="auto"/>
            <w:right w:val="none" w:sz="0" w:space="0" w:color="auto"/>
          </w:divBdr>
        </w:div>
        <w:div w:id="465776313">
          <w:marLeft w:val="0"/>
          <w:marRight w:val="0"/>
          <w:marTop w:val="0"/>
          <w:marBottom w:val="0"/>
          <w:divBdr>
            <w:top w:val="none" w:sz="0" w:space="0" w:color="auto"/>
            <w:left w:val="none" w:sz="0" w:space="0" w:color="auto"/>
            <w:bottom w:val="none" w:sz="0" w:space="0" w:color="auto"/>
            <w:right w:val="none" w:sz="0" w:space="0" w:color="auto"/>
          </w:divBdr>
        </w:div>
      </w:divsChild>
    </w:div>
    <w:div w:id="292059849">
      <w:bodyDiv w:val="1"/>
      <w:marLeft w:val="0"/>
      <w:marRight w:val="0"/>
      <w:marTop w:val="0"/>
      <w:marBottom w:val="0"/>
      <w:divBdr>
        <w:top w:val="none" w:sz="0" w:space="0" w:color="auto"/>
        <w:left w:val="none" w:sz="0" w:space="0" w:color="auto"/>
        <w:bottom w:val="none" w:sz="0" w:space="0" w:color="auto"/>
        <w:right w:val="none" w:sz="0" w:space="0" w:color="auto"/>
      </w:divBdr>
    </w:div>
    <w:div w:id="401175322">
      <w:bodyDiv w:val="1"/>
      <w:marLeft w:val="0"/>
      <w:marRight w:val="0"/>
      <w:marTop w:val="0"/>
      <w:marBottom w:val="0"/>
      <w:divBdr>
        <w:top w:val="none" w:sz="0" w:space="0" w:color="auto"/>
        <w:left w:val="none" w:sz="0" w:space="0" w:color="auto"/>
        <w:bottom w:val="none" w:sz="0" w:space="0" w:color="auto"/>
        <w:right w:val="none" w:sz="0" w:space="0" w:color="auto"/>
      </w:divBdr>
    </w:div>
    <w:div w:id="481893007">
      <w:bodyDiv w:val="1"/>
      <w:marLeft w:val="0"/>
      <w:marRight w:val="0"/>
      <w:marTop w:val="0"/>
      <w:marBottom w:val="0"/>
      <w:divBdr>
        <w:top w:val="none" w:sz="0" w:space="0" w:color="auto"/>
        <w:left w:val="none" w:sz="0" w:space="0" w:color="auto"/>
        <w:bottom w:val="none" w:sz="0" w:space="0" w:color="auto"/>
        <w:right w:val="none" w:sz="0" w:space="0" w:color="auto"/>
      </w:divBdr>
    </w:div>
    <w:div w:id="701245202">
      <w:bodyDiv w:val="1"/>
      <w:marLeft w:val="0"/>
      <w:marRight w:val="0"/>
      <w:marTop w:val="0"/>
      <w:marBottom w:val="0"/>
      <w:divBdr>
        <w:top w:val="none" w:sz="0" w:space="0" w:color="auto"/>
        <w:left w:val="none" w:sz="0" w:space="0" w:color="auto"/>
        <w:bottom w:val="none" w:sz="0" w:space="0" w:color="auto"/>
        <w:right w:val="none" w:sz="0" w:space="0" w:color="auto"/>
      </w:divBdr>
    </w:div>
    <w:div w:id="745221879">
      <w:bodyDiv w:val="1"/>
      <w:marLeft w:val="0"/>
      <w:marRight w:val="0"/>
      <w:marTop w:val="0"/>
      <w:marBottom w:val="0"/>
      <w:divBdr>
        <w:top w:val="none" w:sz="0" w:space="0" w:color="auto"/>
        <w:left w:val="none" w:sz="0" w:space="0" w:color="auto"/>
        <w:bottom w:val="none" w:sz="0" w:space="0" w:color="auto"/>
        <w:right w:val="none" w:sz="0" w:space="0" w:color="auto"/>
      </w:divBdr>
    </w:div>
    <w:div w:id="929506741">
      <w:bodyDiv w:val="1"/>
      <w:marLeft w:val="0"/>
      <w:marRight w:val="0"/>
      <w:marTop w:val="0"/>
      <w:marBottom w:val="0"/>
      <w:divBdr>
        <w:top w:val="none" w:sz="0" w:space="0" w:color="auto"/>
        <w:left w:val="none" w:sz="0" w:space="0" w:color="auto"/>
        <w:bottom w:val="none" w:sz="0" w:space="0" w:color="auto"/>
        <w:right w:val="none" w:sz="0" w:space="0" w:color="auto"/>
      </w:divBdr>
    </w:div>
    <w:div w:id="992677849">
      <w:bodyDiv w:val="1"/>
      <w:marLeft w:val="0"/>
      <w:marRight w:val="0"/>
      <w:marTop w:val="0"/>
      <w:marBottom w:val="0"/>
      <w:divBdr>
        <w:top w:val="none" w:sz="0" w:space="0" w:color="auto"/>
        <w:left w:val="none" w:sz="0" w:space="0" w:color="auto"/>
        <w:bottom w:val="none" w:sz="0" w:space="0" w:color="auto"/>
        <w:right w:val="none" w:sz="0" w:space="0" w:color="auto"/>
      </w:divBdr>
    </w:div>
    <w:div w:id="1041786193">
      <w:bodyDiv w:val="1"/>
      <w:marLeft w:val="0"/>
      <w:marRight w:val="0"/>
      <w:marTop w:val="0"/>
      <w:marBottom w:val="0"/>
      <w:divBdr>
        <w:top w:val="none" w:sz="0" w:space="0" w:color="auto"/>
        <w:left w:val="none" w:sz="0" w:space="0" w:color="auto"/>
        <w:bottom w:val="none" w:sz="0" w:space="0" w:color="auto"/>
        <w:right w:val="none" w:sz="0" w:space="0" w:color="auto"/>
      </w:divBdr>
    </w:div>
    <w:div w:id="1044018797">
      <w:bodyDiv w:val="1"/>
      <w:marLeft w:val="0"/>
      <w:marRight w:val="0"/>
      <w:marTop w:val="0"/>
      <w:marBottom w:val="0"/>
      <w:divBdr>
        <w:top w:val="none" w:sz="0" w:space="0" w:color="auto"/>
        <w:left w:val="none" w:sz="0" w:space="0" w:color="auto"/>
        <w:bottom w:val="none" w:sz="0" w:space="0" w:color="auto"/>
        <w:right w:val="none" w:sz="0" w:space="0" w:color="auto"/>
      </w:divBdr>
      <w:divsChild>
        <w:div w:id="597104430">
          <w:marLeft w:val="0"/>
          <w:marRight w:val="0"/>
          <w:marTop w:val="0"/>
          <w:marBottom w:val="0"/>
          <w:divBdr>
            <w:top w:val="none" w:sz="0" w:space="0" w:color="auto"/>
            <w:left w:val="none" w:sz="0" w:space="0" w:color="auto"/>
            <w:bottom w:val="none" w:sz="0" w:space="0" w:color="auto"/>
            <w:right w:val="none" w:sz="0" w:space="0" w:color="auto"/>
          </w:divBdr>
        </w:div>
        <w:div w:id="1274361081">
          <w:marLeft w:val="0"/>
          <w:marRight w:val="0"/>
          <w:marTop w:val="0"/>
          <w:marBottom w:val="0"/>
          <w:divBdr>
            <w:top w:val="none" w:sz="0" w:space="0" w:color="auto"/>
            <w:left w:val="none" w:sz="0" w:space="0" w:color="auto"/>
            <w:bottom w:val="none" w:sz="0" w:space="0" w:color="auto"/>
            <w:right w:val="none" w:sz="0" w:space="0" w:color="auto"/>
          </w:divBdr>
        </w:div>
        <w:div w:id="1587497662">
          <w:marLeft w:val="0"/>
          <w:marRight w:val="0"/>
          <w:marTop w:val="0"/>
          <w:marBottom w:val="0"/>
          <w:divBdr>
            <w:top w:val="none" w:sz="0" w:space="0" w:color="auto"/>
            <w:left w:val="none" w:sz="0" w:space="0" w:color="auto"/>
            <w:bottom w:val="none" w:sz="0" w:space="0" w:color="auto"/>
            <w:right w:val="none" w:sz="0" w:space="0" w:color="auto"/>
          </w:divBdr>
        </w:div>
        <w:div w:id="1939483401">
          <w:marLeft w:val="0"/>
          <w:marRight w:val="0"/>
          <w:marTop w:val="0"/>
          <w:marBottom w:val="0"/>
          <w:divBdr>
            <w:top w:val="none" w:sz="0" w:space="0" w:color="auto"/>
            <w:left w:val="none" w:sz="0" w:space="0" w:color="auto"/>
            <w:bottom w:val="none" w:sz="0" w:space="0" w:color="auto"/>
            <w:right w:val="none" w:sz="0" w:space="0" w:color="auto"/>
          </w:divBdr>
        </w:div>
        <w:div w:id="424956223">
          <w:marLeft w:val="0"/>
          <w:marRight w:val="0"/>
          <w:marTop w:val="0"/>
          <w:marBottom w:val="0"/>
          <w:divBdr>
            <w:top w:val="none" w:sz="0" w:space="0" w:color="auto"/>
            <w:left w:val="none" w:sz="0" w:space="0" w:color="auto"/>
            <w:bottom w:val="none" w:sz="0" w:space="0" w:color="auto"/>
            <w:right w:val="none" w:sz="0" w:space="0" w:color="auto"/>
          </w:divBdr>
        </w:div>
        <w:div w:id="236476846">
          <w:marLeft w:val="0"/>
          <w:marRight w:val="0"/>
          <w:marTop w:val="0"/>
          <w:marBottom w:val="0"/>
          <w:divBdr>
            <w:top w:val="none" w:sz="0" w:space="0" w:color="auto"/>
            <w:left w:val="none" w:sz="0" w:space="0" w:color="auto"/>
            <w:bottom w:val="none" w:sz="0" w:space="0" w:color="auto"/>
            <w:right w:val="none" w:sz="0" w:space="0" w:color="auto"/>
          </w:divBdr>
        </w:div>
        <w:div w:id="477114714">
          <w:marLeft w:val="0"/>
          <w:marRight w:val="0"/>
          <w:marTop w:val="0"/>
          <w:marBottom w:val="0"/>
          <w:divBdr>
            <w:top w:val="none" w:sz="0" w:space="0" w:color="auto"/>
            <w:left w:val="none" w:sz="0" w:space="0" w:color="auto"/>
            <w:bottom w:val="none" w:sz="0" w:space="0" w:color="auto"/>
            <w:right w:val="none" w:sz="0" w:space="0" w:color="auto"/>
          </w:divBdr>
        </w:div>
        <w:div w:id="1407534426">
          <w:marLeft w:val="0"/>
          <w:marRight w:val="0"/>
          <w:marTop w:val="0"/>
          <w:marBottom w:val="0"/>
          <w:divBdr>
            <w:top w:val="none" w:sz="0" w:space="0" w:color="auto"/>
            <w:left w:val="none" w:sz="0" w:space="0" w:color="auto"/>
            <w:bottom w:val="none" w:sz="0" w:space="0" w:color="auto"/>
            <w:right w:val="none" w:sz="0" w:space="0" w:color="auto"/>
          </w:divBdr>
        </w:div>
        <w:div w:id="395468411">
          <w:marLeft w:val="0"/>
          <w:marRight w:val="0"/>
          <w:marTop w:val="0"/>
          <w:marBottom w:val="0"/>
          <w:divBdr>
            <w:top w:val="none" w:sz="0" w:space="0" w:color="auto"/>
            <w:left w:val="none" w:sz="0" w:space="0" w:color="auto"/>
            <w:bottom w:val="none" w:sz="0" w:space="0" w:color="auto"/>
            <w:right w:val="none" w:sz="0" w:space="0" w:color="auto"/>
          </w:divBdr>
        </w:div>
        <w:div w:id="1110854721">
          <w:marLeft w:val="0"/>
          <w:marRight w:val="0"/>
          <w:marTop w:val="0"/>
          <w:marBottom w:val="0"/>
          <w:divBdr>
            <w:top w:val="none" w:sz="0" w:space="0" w:color="auto"/>
            <w:left w:val="none" w:sz="0" w:space="0" w:color="auto"/>
            <w:bottom w:val="none" w:sz="0" w:space="0" w:color="auto"/>
            <w:right w:val="none" w:sz="0" w:space="0" w:color="auto"/>
          </w:divBdr>
        </w:div>
        <w:div w:id="1946886937">
          <w:marLeft w:val="0"/>
          <w:marRight w:val="0"/>
          <w:marTop w:val="0"/>
          <w:marBottom w:val="0"/>
          <w:divBdr>
            <w:top w:val="none" w:sz="0" w:space="0" w:color="auto"/>
            <w:left w:val="none" w:sz="0" w:space="0" w:color="auto"/>
            <w:bottom w:val="none" w:sz="0" w:space="0" w:color="auto"/>
            <w:right w:val="none" w:sz="0" w:space="0" w:color="auto"/>
          </w:divBdr>
        </w:div>
        <w:div w:id="129370124">
          <w:marLeft w:val="0"/>
          <w:marRight w:val="0"/>
          <w:marTop w:val="0"/>
          <w:marBottom w:val="0"/>
          <w:divBdr>
            <w:top w:val="none" w:sz="0" w:space="0" w:color="auto"/>
            <w:left w:val="none" w:sz="0" w:space="0" w:color="auto"/>
            <w:bottom w:val="none" w:sz="0" w:space="0" w:color="auto"/>
            <w:right w:val="none" w:sz="0" w:space="0" w:color="auto"/>
          </w:divBdr>
        </w:div>
        <w:div w:id="984312231">
          <w:marLeft w:val="0"/>
          <w:marRight w:val="0"/>
          <w:marTop w:val="0"/>
          <w:marBottom w:val="0"/>
          <w:divBdr>
            <w:top w:val="none" w:sz="0" w:space="0" w:color="auto"/>
            <w:left w:val="none" w:sz="0" w:space="0" w:color="auto"/>
            <w:bottom w:val="none" w:sz="0" w:space="0" w:color="auto"/>
            <w:right w:val="none" w:sz="0" w:space="0" w:color="auto"/>
          </w:divBdr>
        </w:div>
        <w:div w:id="1261455138">
          <w:marLeft w:val="0"/>
          <w:marRight w:val="0"/>
          <w:marTop w:val="0"/>
          <w:marBottom w:val="0"/>
          <w:divBdr>
            <w:top w:val="none" w:sz="0" w:space="0" w:color="auto"/>
            <w:left w:val="none" w:sz="0" w:space="0" w:color="auto"/>
            <w:bottom w:val="none" w:sz="0" w:space="0" w:color="auto"/>
            <w:right w:val="none" w:sz="0" w:space="0" w:color="auto"/>
          </w:divBdr>
        </w:div>
        <w:div w:id="2050301868">
          <w:marLeft w:val="0"/>
          <w:marRight w:val="0"/>
          <w:marTop w:val="0"/>
          <w:marBottom w:val="0"/>
          <w:divBdr>
            <w:top w:val="none" w:sz="0" w:space="0" w:color="auto"/>
            <w:left w:val="none" w:sz="0" w:space="0" w:color="auto"/>
            <w:bottom w:val="none" w:sz="0" w:space="0" w:color="auto"/>
            <w:right w:val="none" w:sz="0" w:space="0" w:color="auto"/>
          </w:divBdr>
        </w:div>
        <w:div w:id="381902201">
          <w:marLeft w:val="0"/>
          <w:marRight w:val="0"/>
          <w:marTop w:val="0"/>
          <w:marBottom w:val="0"/>
          <w:divBdr>
            <w:top w:val="none" w:sz="0" w:space="0" w:color="auto"/>
            <w:left w:val="none" w:sz="0" w:space="0" w:color="auto"/>
            <w:bottom w:val="none" w:sz="0" w:space="0" w:color="auto"/>
            <w:right w:val="none" w:sz="0" w:space="0" w:color="auto"/>
          </w:divBdr>
        </w:div>
        <w:div w:id="69429856">
          <w:marLeft w:val="0"/>
          <w:marRight w:val="0"/>
          <w:marTop w:val="0"/>
          <w:marBottom w:val="0"/>
          <w:divBdr>
            <w:top w:val="none" w:sz="0" w:space="0" w:color="auto"/>
            <w:left w:val="none" w:sz="0" w:space="0" w:color="auto"/>
            <w:bottom w:val="none" w:sz="0" w:space="0" w:color="auto"/>
            <w:right w:val="none" w:sz="0" w:space="0" w:color="auto"/>
          </w:divBdr>
        </w:div>
        <w:div w:id="531260930">
          <w:marLeft w:val="0"/>
          <w:marRight w:val="0"/>
          <w:marTop w:val="0"/>
          <w:marBottom w:val="0"/>
          <w:divBdr>
            <w:top w:val="none" w:sz="0" w:space="0" w:color="auto"/>
            <w:left w:val="none" w:sz="0" w:space="0" w:color="auto"/>
            <w:bottom w:val="none" w:sz="0" w:space="0" w:color="auto"/>
            <w:right w:val="none" w:sz="0" w:space="0" w:color="auto"/>
          </w:divBdr>
        </w:div>
        <w:div w:id="318922563">
          <w:marLeft w:val="0"/>
          <w:marRight w:val="0"/>
          <w:marTop w:val="0"/>
          <w:marBottom w:val="0"/>
          <w:divBdr>
            <w:top w:val="none" w:sz="0" w:space="0" w:color="auto"/>
            <w:left w:val="none" w:sz="0" w:space="0" w:color="auto"/>
            <w:bottom w:val="none" w:sz="0" w:space="0" w:color="auto"/>
            <w:right w:val="none" w:sz="0" w:space="0" w:color="auto"/>
          </w:divBdr>
        </w:div>
        <w:div w:id="998267940">
          <w:marLeft w:val="0"/>
          <w:marRight w:val="0"/>
          <w:marTop w:val="0"/>
          <w:marBottom w:val="0"/>
          <w:divBdr>
            <w:top w:val="none" w:sz="0" w:space="0" w:color="auto"/>
            <w:left w:val="none" w:sz="0" w:space="0" w:color="auto"/>
            <w:bottom w:val="none" w:sz="0" w:space="0" w:color="auto"/>
            <w:right w:val="none" w:sz="0" w:space="0" w:color="auto"/>
          </w:divBdr>
        </w:div>
        <w:div w:id="2098793781">
          <w:marLeft w:val="0"/>
          <w:marRight w:val="0"/>
          <w:marTop w:val="0"/>
          <w:marBottom w:val="0"/>
          <w:divBdr>
            <w:top w:val="none" w:sz="0" w:space="0" w:color="auto"/>
            <w:left w:val="none" w:sz="0" w:space="0" w:color="auto"/>
            <w:bottom w:val="none" w:sz="0" w:space="0" w:color="auto"/>
            <w:right w:val="none" w:sz="0" w:space="0" w:color="auto"/>
          </w:divBdr>
        </w:div>
        <w:div w:id="716440064">
          <w:marLeft w:val="0"/>
          <w:marRight w:val="0"/>
          <w:marTop w:val="0"/>
          <w:marBottom w:val="0"/>
          <w:divBdr>
            <w:top w:val="none" w:sz="0" w:space="0" w:color="auto"/>
            <w:left w:val="none" w:sz="0" w:space="0" w:color="auto"/>
            <w:bottom w:val="none" w:sz="0" w:space="0" w:color="auto"/>
            <w:right w:val="none" w:sz="0" w:space="0" w:color="auto"/>
          </w:divBdr>
        </w:div>
        <w:div w:id="900017185">
          <w:marLeft w:val="0"/>
          <w:marRight w:val="0"/>
          <w:marTop w:val="0"/>
          <w:marBottom w:val="0"/>
          <w:divBdr>
            <w:top w:val="none" w:sz="0" w:space="0" w:color="auto"/>
            <w:left w:val="none" w:sz="0" w:space="0" w:color="auto"/>
            <w:bottom w:val="none" w:sz="0" w:space="0" w:color="auto"/>
            <w:right w:val="none" w:sz="0" w:space="0" w:color="auto"/>
          </w:divBdr>
        </w:div>
        <w:div w:id="67505097">
          <w:marLeft w:val="0"/>
          <w:marRight w:val="0"/>
          <w:marTop w:val="0"/>
          <w:marBottom w:val="0"/>
          <w:divBdr>
            <w:top w:val="none" w:sz="0" w:space="0" w:color="auto"/>
            <w:left w:val="none" w:sz="0" w:space="0" w:color="auto"/>
            <w:bottom w:val="none" w:sz="0" w:space="0" w:color="auto"/>
            <w:right w:val="none" w:sz="0" w:space="0" w:color="auto"/>
          </w:divBdr>
        </w:div>
        <w:div w:id="572081995">
          <w:marLeft w:val="0"/>
          <w:marRight w:val="0"/>
          <w:marTop w:val="0"/>
          <w:marBottom w:val="0"/>
          <w:divBdr>
            <w:top w:val="none" w:sz="0" w:space="0" w:color="auto"/>
            <w:left w:val="none" w:sz="0" w:space="0" w:color="auto"/>
            <w:bottom w:val="none" w:sz="0" w:space="0" w:color="auto"/>
            <w:right w:val="none" w:sz="0" w:space="0" w:color="auto"/>
          </w:divBdr>
        </w:div>
        <w:div w:id="401874516">
          <w:marLeft w:val="0"/>
          <w:marRight w:val="0"/>
          <w:marTop w:val="0"/>
          <w:marBottom w:val="0"/>
          <w:divBdr>
            <w:top w:val="none" w:sz="0" w:space="0" w:color="auto"/>
            <w:left w:val="none" w:sz="0" w:space="0" w:color="auto"/>
            <w:bottom w:val="none" w:sz="0" w:space="0" w:color="auto"/>
            <w:right w:val="none" w:sz="0" w:space="0" w:color="auto"/>
          </w:divBdr>
        </w:div>
        <w:div w:id="372734605">
          <w:marLeft w:val="0"/>
          <w:marRight w:val="0"/>
          <w:marTop w:val="0"/>
          <w:marBottom w:val="0"/>
          <w:divBdr>
            <w:top w:val="none" w:sz="0" w:space="0" w:color="auto"/>
            <w:left w:val="none" w:sz="0" w:space="0" w:color="auto"/>
            <w:bottom w:val="none" w:sz="0" w:space="0" w:color="auto"/>
            <w:right w:val="none" w:sz="0" w:space="0" w:color="auto"/>
          </w:divBdr>
        </w:div>
        <w:div w:id="293608605">
          <w:marLeft w:val="0"/>
          <w:marRight w:val="0"/>
          <w:marTop w:val="0"/>
          <w:marBottom w:val="0"/>
          <w:divBdr>
            <w:top w:val="none" w:sz="0" w:space="0" w:color="auto"/>
            <w:left w:val="none" w:sz="0" w:space="0" w:color="auto"/>
            <w:bottom w:val="none" w:sz="0" w:space="0" w:color="auto"/>
            <w:right w:val="none" w:sz="0" w:space="0" w:color="auto"/>
          </w:divBdr>
        </w:div>
        <w:div w:id="1215970295">
          <w:marLeft w:val="0"/>
          <w:marRight w:val="0"/>
          <w:marTop w:val="0"/>
          <w:marBottom w:val="0"/>
          <w:divBdr>
            <w:top w:val="none" w:sz="0" w:space="0" w:color="auto"/>
            <w:left w:val="none" w:sz="0" w:space="0" w:color="auto"/>
            <w:bottom w:val="none" w:sz="0" w:space="0" w:color="auto"/>
            <w:right w:val="none" w:sz="0" w:space="0" w:color="auto"/>
          </w:divBdr>
        </w:div>
        <w:div w:id="283268673">
          <w:marLeft w:val="0"/>
          <w:marRight w:val="0"/>
          <w:marTop w:val="0"/>
          <w:marBottom w:val="0"/>
          <w:divBdr>
            <w:top w:val="none" w:sz="0" w:space="0" w:color="auto"/>
            <w:left w:val="none" w:sz="0" w:space="0" w:color="auto"/>
            <w:bottom w:val="none" w:sz="0" w:space="0" w:color="auto"/>
            <w:right w:val="none" w:sz="0" w:space="0" w:color="auto"/>
          </w:divBdr>
        </w:div>
        <w:div w:id="675037399">
          <w:marLeft w:val="0"/>
          <w:marRight w:val="0"/>
          <w:marTop w:val="0"/>
          <w:marBottom w:val="0"/>
          <w:divBdr>
            <w:top w:val="none" w:sz="0" w:space="0" w:color="auto"/>
            <w:left w:val="none" w:sz="0" w:space="0" w:color="auto"/>
            <w:bottom w:val="none" w:sz="0" w:space="0" w:color="auto"/>
            <w:right w:val="none" w:sz="0" w:space="0" w:color="auto"/>
          </w:divBdr>
        </w:div>
        <w:div w:id="496118571">
          <w:marLeft w:val="0"/>
          <w:marRight w:val="0"/>
          <w:marTop w:val="0"/>
          <w:marBottom w:val="0"/>
          <w:divBdr>
            <w:top w:val="none" w:sz="0" w:space="0" w:color="auto"/>
            <w:left w:val="none" w:sz="0" w:space="0" w:color="auto"/>
            <w:bottom w:val="none" w:sz="0" w:space="0" w:color="auto"/>
            <w:right w:val="none" w:sz="0" w:space="0" w:color="auto"/>
          </w:divBdr>
        </w:div>
        <w:div w:id="585456033">
          <w:marLeft w:val="0"/>
          <w:marRight w:val="0"/>
          <w:marTop w:val="0"/>
          <w:marBottom w:val="0"/>
          <w:divBdr>
            <w:top w:val="none" w:sz="0" w:space="0" w:color="auto"/>
            <w:left w:val="none" w:sz="0" w:space="0" w:color="auto"/>
            <w:bottom w:val="none" w:sz="0" w:space="0" w:color="auto"/>
            <w:right w:val="none" w:sz="0" w:space="0" w:color="auto"/>
          </w:divBdr>
        </w:div>
        <w:div w:id="391463911">
          <w:marLeft w:val="0"/>
          <w:marRight w:val="0"/>
          <w:marTop w:val="0"/>
          <w:marBottom w:val="0"/>
          <w:divBdr>
            <w:top w:val="none" w:sz="0" w:space="0" w:color="auto"/>
            <w:left w:val="none" w:sz="0" w:space="0" w:color="auto"/>
            <w:bottom w:val="none" w:sz="0" w:space="0" w:color="auto"/>
            <w:right w:val="none" w:sz="0" w:space="0" w:color="auto"/>
          </w:divBdr>
        </w:div>
        <w:div w:id="408428848">
          <w:marLeft w:val="0"/>
          <w:marRight w:val="0"/>
          <w:marTop w:val="0"/>
          <w:marBottom w:val="0"/>
          <w:divBdr>
            <w:top w:val="none" w:sz="0" w:space="0" w:color="auto"/>
            <w:left w:val="none" w:sz="0" w:space="0" w:color="auto"/>
            <w:bottom w:val="none" w:sz="0" w:space="0" w:color="auto"/>
            <w:right w:val="none" w:sz="0" w:space="0" w:color="auto"/>
          </w:divBdr>
        </w:div>
        <w:div w:id="812480706">
          <w:marLeft w:val="0"/>
          <w:marRight w:val="0"/>
          <w:marTop w:val="0"/>
          <w:marBottom w:val="0"/>
          <w:divBdr>
            <w:top w:val="none" w:sz="0" w:space="0" w:color="auto"/>
            <w:left w:val="none" w:sz="0" w:space="0" w:color="auto"/>
            <w:bottom w:val="none" w:sz="0" w:space="0" w:color="auto"/>
            <w:right w:val="none" w:sz="0" w:space="0" w:color="auto"/>
          </w:divBdr>
        </w:div>
        <w:div w:id="1738556097">
          <w:marLeft w:val="0"/>
          <w:marRight w:val="0"/>
          <w:marTop w:val="0"/>
          <w:marBottom w:val="0"/>
          <w:divBdr>
            <w:top w:val="none" w:sz="0" w:space="0" w:color="auto"/>
            <w:left w:val="none" w:sz="0" w:space="0" w:color="auto"/>
            <w:bottom w:val="none" w:sz="0" w:space="0" w:color="auto"/>
            <w:right w:val="none" w:sz="0" w:space="0" w:color="auto"/>
          </w:divBdr>
        </w:div>
        <w:div w:id="1864440802">
          <w:marLeft w:val="0"/>
          <w:marRight w:val="0"/>
          <w:marTop w:val="0"/>
          <w:marBottom w:val="0"/>
          <w:divBdr>
            <w:top w:val="none" w:sz="0" w:space="0" w:color="auto"/>
            <w:left w:val="none" w:sz="0" w:space="0" w:color="auto"/>
            <w:bottom w:val="none" w:sz="0" w:space="0" w:color="auto"/>
            <w:right w:val="none" w:sz="0" w:space="0" w:color="auto"/>
          </w:divBdr>
        </w:div>
        <w:div w:id="866721080">
          <w:marLeft w:val="0"/>
          <w:marRight w:val="0"/>
          <w:marTop w:val="0"/>
          <w:marBottom w:val="0"/>
          <w:divBdr>
            <w:top w:val="none" w:sz="0" w:space="0" w:color="auto"/>
            <w:left w:val="none" w:sz="0" w:space="0" w:color="auto"/>
            <w:bottom w:val="none" w:sz="0" w:space="0" w:color="auto"/>
            <w:right w:val="none" w:sz="0" w:space="0" w:color="auto"/>
          </w:divBdr>
        </w:div>
        <w:div w:id="2059737500">
          <w:marLeft w:val="0"/>
          <w:marRight w:val="0"/>
          <w:marTop w:val="0"/>
          <w:marBottom w:val="0"/>
          <w:divBdr>
            <w:top w:val="none" w:sz="0" w:space="0" w:color="auto"/>
            <w:left w:val="none" w:sz="0" w:space="0" w:color="auto"/>
            <w:bottom w:val="none" w:sz="0" w:space="0" w:color="auto"/>
            <w:right w:val="none" w:sz="0" w:space="0" w:color="auto"/>
          </w:divBdr>
        </w:div>
        <w:div w:id="364336082">
          <w:marLeft w:val="0"/>
          <w:marRight w:val="0"/>
          <w:marTop w:val="0"/>
          <w:marBottom w:val="0"/>
          <w:divBdr>
            <w:top w:val="none" w:sz="0" w:space="0" w:color="auto"/>
            <w:left w:val="none" w:sz="0" w:space="0" w:color="auto"/>
            <w:bottom w:val="none" w:sz="0" w:space="0" w:color="auto"/>
            <w:right w:val="none" w:sz="0" w:space="0" w:color="auto"/>
          </w:divBdr>
        </w:div>
        <w:div w:id="1199658097">
          <w:marLeft w:val="0"/>
          <w:marRight w:val="0"/>
          <w:marTop w:val="0"/>
          <w:marBottom w:val="0"/>
          <w:divBdr>
            <w:top w:val="none" w:sz="0" w:space="0" w:color="auto"/>
            <w:left w:val="none" w:sz="0" w:space="0" w:color="auto"/>
            <w:bottom w:val="none" w:sz="0" w:space="0" w:color="auto"/>
            <w:right w:val="none" w:sz="0" w:space="0" w:color="auto"/>
          </w:divBdr>
        </w:div>
        <w:div w:id="307443823">
          <w:marLeft w:val="0"/>
          <w:marRight w:val="0"/>
          <w:marTop w:val="0"/>
          <w:marBottom w:val="0"/>
          <w:divBdr>
            <w:top w:val="none" w:sz="0" w:space="0" w:color="auto"/>
            <w:left w:val="none" w:sz="0" w:space="0" w:color="auto"/>
            <w:bottom w:val="none" w:sz="0" w:space="0" w:color="auto"/>
            <w:right w:val="none" w:sz="0" w:space="0" w:color="auto"/>
          </w:divBdr>
        </w:div>
        <w:div w:id="504562674">
          <w:marLeft w:val="0"/>
          <w:marRight w:val="0"/>
          <w:marTop w:val="0"/>
          <w:marBottom w:val="0"/>
          <w:divBdr>
            <w:top w:val="none" w:sz="0" w:space="0" w:color="auto"/>
            <w:left w:val="none" w:sz="0" w:space="0" w:color="auto"/>
            <w:bottom w:val="none" w:sz="0" w:space="0" w:color="auto"/>
            <w:right w:val="none" w:sz="0" w:space="0" w:color="auto"/>
          </w:divBdr>
        </w:div>
        <w:div w:id="1774471411">
          <w:marLeft w:val="0"/>
          <w:marRight w:val="0"/>
          <w:marTop w:val="0"/>
          <w:marBottom w:val="0"/>
          <w:divBdr>
            <w:top w:val="none" w:sz="0" w:space="0" w:color="auto"/>
            <w:left w:val="none" w:sz="0" w:space="0" w:color="auto"/>
            <w:bottom w:val="none" w:sz="0" w:space="0" w:color="auto"/>
            <w:right w:val="none" w:sz="0" w:space="0" w:color="auto"/>
          </w:divBdr>
        </w:div>
        <w:div w:id="1095319112">
          <w:marLeft w:val="0"/>
          <w:marRight w:val="0"/>
          <w:marTop w:val="0"/>
          <w:marBottom w:val="0"/>
          <w:divBdr>
            <w:top w:val="none" w:sz="0" w:space="0" w:color="auto"/>
            <w:left w:val="none" w:sz="0" w:space="0" w:color="auto"/>
            <w:bottom w:val="none" w:sz="0" w:space="0" w:color="auto"/>
            <w:right w:val="none" w:sz="0" w:space="0" w:color="auto"/>
          </w:divBdr>
        </w:div>
        <w:div w:id="1654479484">
          <w:marLeft w:val="0"/>
          <w:marRight w:val="0"/>
          <w:marTop w:val="0"/>
          <w:marBottom w:val="0"/>
          <w:divBdr>
            <w:top w:val="none" w:sz="0" w:space="0" w:color="auto"/>
            <w:left w:val="none" w:sz="0" w:space="0" w:color="auto"/>
            <w:bottom w:val="none" w:sz="0" w:space="0" w:color="auto"/>
            <w:right w:val="none" w:sz="0" w:space="0" w:color="auto"/>
          </w:divBdr>
        </w:div>
        <w:div w:id="1925608888">
          <w:marLeft w:val="0"/>
          <w:marRight w:val="0"/>
          <w:marTop w:val="0"/>
          <w:marBottom w:val="0"/>
          <w:divBdr>
            <w:top w:val="none" w:sz="0" w:space="0" w:color="auto"/>
            <w:left w:val="none" w:sz="0" w:space="0" w:color="auto"/>
            <w:bottom w:val="none" w:sz="0" w:space="0" w:color="auto"/>
            <w:right w:val="none" w:sz="0" w:space="0" w:color="auto"/>
          </w:divBdr>
        </w:div>
        <w:div w:id="784347115">
          <w:marLeft w:val="0"/>
          <w:marRight w:val="0"/>
          <w:marTop w:val="0"/>
          <w:marBottom w:val="0"/>
          <w:divBdr>
            <w:top w:val="none" w:sz="0" w:space="0" w:color="auto"/>
            <w:left w:val="none" w:sz="0" w:space="0" w:color="auto"/>
            <w:bottom w:val="none" w:sz="0" w:space="0" w:color="auto"/>
            <w:right w:val="none" w:sz="0" w:space="0" w:color="auto"/>
          </w:divBdr>
        </w:div>
        <w:div w:id="1601723400">
          <w:marLeft w:val="0"/>
          <w:marRight w:val="0"/>
          <w:marTop w:val="0"/>
          <w:marBottom w:val="0"/>
          <w:divBdr>
            <w:top w:val="none" w:sz="0" w:space="0" w:color="auto"/>
            <w:left w:val="none" w:sz="0" w:space="0" w:color="auto"/>
            <w:bottom w:val="none" w:sz="0" w:space="0" w:color="auto"/>
            <w:right w:val="none" w:sz="0" w:space="0" w:color="auto"/>
          </w:divBdr>
        </w:div>
        <w:div w:id="1402170557">
          <w:marLeft w:val="0"/>
          <w:marRight w:val="0"/>
          <w:marTop w:val="0"/>
          <w:marBottom w:val="0"/>
          <w:divBdr>
            <w:top w:val="none" w:sz="0" w:space="0" w:color="auto"/>
            <w:left w:val="none" w:sz="0" w:space="0" w:color="auto"/>
            <w:bottom w:val="none" w:sz="0" w:space="0" w:color="auto"/>
            <w:right w:val="none" w:sz="0" w:space="0" w:color="auto"/>
          </w:divBdr>
        </w:div>
        <w:div w:id="907687689">
          <w:marLeft w:val="0"/>
          <w:marRight w:val="0"/>
          <w:marTop w:val="0"/>
          <w:marBottom w:val="0"/>
          <w:divBdr>
            <w:top w:val="none" w:sz="0" w:space="0" w:color="auto"/>
            <w:left w:val="none" w:sz="0" w:space="0" w:color="auto"/>
            <w:bottom w:val="none" w:sz="0" w:space="0" w:color="auto"/>
            <w:right w:val="none" w:sz="0" w:space="0" w:color="auto"/>
          </w:divBdr>
        </w:div>
        <w:div w:id="1724253862">
          <w:marLeft w:val="0"/>
          <w:marRight w:val="0"/>
          <w:marTop w:val="0"/>
          <w:marBottom w:val="0"/>
          <w:divBdr>
            <w:top w:val="none" w:sz="0" w:space="0" w:color="auto"/>
            <w:left w:val="none" w:sz="0" w:space="0" w:color="auto"/>
            <w:bottom w:val="none" w:sz="0" w:space="0" w:color="auto"/>
            <w:right w:val="none" w:sz="0" w:space="0" w:color="auto"/>
          </w:divBdr>
        </w:div>
        <w:div w:id="359858324">
          <w:marLeft w:val="0"/>
          <w:marRight w:val="0"/>
          <w:marTop w:val="0"/>
          <w:marBottom w:val="0"/>
          <w:divBdr>
            <w:top w:val="none" w:sz="0" w:space="0" w:color="auto"/>
            <w:left w:val="none" w:sz="0" w:space="0" w:color="auto"/>
            <w:bottom w:val="none" w:sz="0" w:space="0" w:color="auto"/>
            <w:right w:val="none" w:sz="0" w:space="0" w:color="auto"/>
          </w:divBdr>
        </w:div>
        <w:div w:id="749472162">
          <w:marLeft w:val="0"/>
          <w:marRight w:val="0"/>
          <w:marTop w:val="0"/>
          <w:marBottom w:val="0"/>
          <w:divBdr>
            <w:top w:val="none" w:sz="0" w:space="0" w:color="auto"/>
            <w:left w:val="none" w:sz="0" w:space="0" w:color="auto"/>
            <w:bottom w:val="none" w:sz="0" w:space="0" w:color="auto"/>
            <w:right w:val="none" w:sz="0" w:space="0" w:color="auto"/>
          </w:divBdr>
        </w:div>
        <w:div w:id="363141479">
          <w:marLeft w:val="0"/>
          <w:marRight w:val="0"/>
          <w:marTop w:val="0"/>
          <w:marBottom w:val="0"/>
          <w:divBdr>
            <w:top w:val="none" w:sz="0" w:space="0" w:color="auto"/>
            <w:left w:val="none" w:sz="0" w:space="0" w:color="auto"/>
            <w:bottom w:val="none" w:sz="0" w:space="0" w:color="auto"/>
            <w:right w:val="none" w:sz="0" w:space="0" w:color="auto"/>
          </w:divBdr>
        </w:div>
        <w:div w:id="305597991">
          <w:marLeft w:val="0"/>
          <w:marRight w:val="0"/>
          <w:marTop w:val="0"/>
          <w:marBottom w:val="0"/>
          <w:divBdr>
            <w:top w:val="none" w:sz="0" w:space="0" w:color="auto"/>
            <w:left w:val="none" w:sz="0" w:space="0" w:color="auto"/>
            <w:bottom w:val="none" w:sz="0" w:space="0" w:color="auto"/>
            <w:right w:val="none" w:sz="0" w:space="0" w:color="auto"/>
          </w:divBdr>
        </w:div>
        <w:div w:id="1923953212">
          <w:marLeft w:val="0"/>
          <w:marRight w:val="0"/>
          <w:marTop w:val="0"/>
          <w:marBottom w:val="0"/>
          <w:divBdr>
            <w:top w:val="none" w:sz="0" w:space="0" w:color="auto"/>
            <w:left w:val="none" w:sz="0" w:space="0" w:color="auto"/>
            <w:bottom w:val="none" w:sz="0" w:space="0" w:color="auto"/>
            <w:right w:val="none" w:sz="0" w:space="0" w:color="auto"/>
          </w:divBdr>
        </w:div>
        <w:div w:id="1201818692">
          <w:marLeft w:val="0"/>
          <w:marRight w:val="0"/>
          <w:marTop w:val="0"/>
          <w:marBottom w:val="0"/>
          <w:divBdr>
            <w:top w:val="none" w:sz="0" w:space="0" w:color="auto"/>
            <w:left w:val="none" w:sz="0" w:space="0" w:color="auto"/>
            <w:bottom w:val="none" w:sz="0" w:space="0" w:color="auto"/>
            <w:right w:val="none" w:sz="0" w:space="0" w:color="auto"/>
          </w:divBdr>
        </w:div>
        <w:div w:id="1809857729">
          <w:marLeft w:val="0"/>
          <w:marRight w:val="0"/>
          <w:marTop w:val="0"/>
          <w:marBottom w:val="0"/>
          <w:divBdr>
            <w:top w:val="none" w:sz="0" w:space="0" w:color="auto"/>
            <w:left w:val="none" w:sz="0" w:space="0" w:color="auto"/>
            <w:bottom w:val="none" w:sz="0" w:space="0" w:color="auto"/>
            <w:right w:val="none" w:sz="0" w:space="0" w:color="auto"/>
          </w:divBdr>
        </w:div>
        <w:div w:id="1696692717">
          <w:marLeft w:val="0"/>
          <w:marRight w:val="0"/>
          <w:marTop w:val="0"/>
          <w:marBottom w:val="0"/>
          <w:divBdr>
            <w:top w:val="none" w:sz="0" w:space="0" w:color="auto"/>
            <w:left w:val="none" w:sz="0" w:space="0" w:color="auto"/>
            <w:bottom w:val="none" w:sz="0" w:space="0" w:color="auto"/>
            <w:right w:val="none" w:sz="0" w:space="0" w:color="auto"/>
          </w:divBdr>
        </w:div>
        <w:div w:id="702286895">
          <w:marLeft w:val="0"/>
          <w:marRight w:val="0"/>
          <w:marTop w:val="0"/>
          <w:marBottom w:val="0"/>
          <w:divBdr>
            <w:top w:val="none" w:sz="0" w:space="0" w:color="auto"/>
            <w:left w:val="none" w:sz="0" w:space="0" w:color="auto"/>
            <w:bottom w:val="none" w:sz="0" w:space="0" w:color="auto"/>
            <w:right w:val="none" w:sz="0" w:space="0" w:color="auto"/>
          </w:divBdr>
        </w:div>
        <w:div w:id="2100635282">
          <w:marLeft w:val="0"/>
          <w:marRight w:val="0"/>
          <w:marTop w:val="0"/>
          <w:marBottom w:val="0"/>
          <w:divBdr>
            <w:top w:val="none" w:sz="0" w:space="0" w:color="auto"/>
            <w:left w:val="none" w:sz="0" w:space="0" w:color="auto"/>
            <w:bottom w:val="none" w:sz="0" w:space="0" w:color="auto"/>
            <w:right w:val="none" w:sz="0" w:space="0" w:color="auto"/>
          </w:divBdr>
        </w:div>
        <w:div w:id="1113941508">
          <w:marLeft w:val="0"/>
          <w:marRight w:val="0"/>
          <w:marTop w:val="0"/>
          <w:marBottom w:val="0"/>
          <w:divBdr>
            <w:top w:val="none" w:sz="0" w:space="0" w:color="auto"/>
            <w:left w:val="none" w:sz="0" w:space="0" w:color="auto"/>
            <w:bottom w:val="none" w:sz="0" w:space="0" w:color="auto"/>
            <w:right w:val="none" w:sz="0" w:space="0" w:color="auto"/>
          </w:divBdr>
        </w:div>
        <w:div w:id="1593078027">
          <w:marLeft w:val="0"/>
          <w:marRight w:val="0"/>
          <w:marTop w:val="0"/>
          <w:marBottom w:val="0"/>
          <w:divBdr>
            <w:top w:val="none" w:sz="0" w:space="0" w:color="auto"/>
            <w:left w:val="none" w:sz="0" w:space="0" w:color="auto"/>
            <w:bottom w:val="none" w:sz="0" w:space="0" w:color="auto"/>
            <w:right w:val="none" w:sz="0" w:space="0" w:color="auto"/>
          </w:divBdr>
        </w:div>
        <w:div w:id="1649435030">
          <w:marLeft w:val="0"/>
          <w:marRight w:val="0"/>
          <w:marTop w:val="0"/>
          <w:marBottom w:val="0"/>
          <w:divBdr>
            <w:top w:val="none" w:sz="0" w:space="0" w:color="auto"/>
            <w:left w:val="none" w:sz="0" w:space="0" w:color="auto"/>
            <w:bottom w:val="none" w:sz="0" w:space="0" w:color="auto"/>
            <w:right w:val="none" w:sz="0" w:space="0" w:color="auto"/>
          </w:divBdr>
        </w:div>
        <w:div w:id="1715277475">
          <w:marLeft w:val="0"/>
          <w:marRight w:val="0"/>
          <w:marTop w:val="0"/>
          <w:marBottom w:val="0"/>
          <w:divBdr>
            <w:top w:val="none" w:sz="0" w:space="0" w:color="auto"/>
            <w:left w:val="none" w:sz="0" w:space="0" w:color="auto"/>
            <w:bottom w:val="none" w:sz="0" w:space="0" w:color="auto"/>
            <w:right w:val="none" w:sz="0" w:space="0" w:color="auto"/>
          </w:divBdr>
        </w:div>
        <w:div w:id="395711915">
          <w:marLeft w:val="0"/>
          <w:marRight w:val="0"/>
          <w:marTop w:val="0"/>
          <w:marBottom w:val="0"/>
          <w:divBdr>
            <w:top w:val="none" w:sz="0" w:space="0" w:color="auto"/>
            <w:left w:val="none" w:sz="0" w:space="0" w:color="auto"/>
            <w:bottom w:val="none" w:sz="0" w:space="0" w:color="auto"/>
            <w:right w:val="none" w:sz="0" w:space="0" w:color="auto"/>
          </w:divBdr>
        </w:div>
        <w:div w:id="1398020072">
          <w:marLeft w:val="0"/>
          <w:marRight w:val="0"/>
          <w:marTop w:val="0"/>
          <w:marBottom w:val="0"/>
          <w:divBdr>
            <w:top w:val="none" w:sz="0" w:space="0" w:color="auto"/>
            <w:left w:val="none" w:sz="0" w:space="0" w:color="auto"/>
            <w:bottom w:val="none" w:sz="0" w:space="0" w:color="auto"/>
            <w:right w:val="none" w:sz="0" w:space="0" w:color="auto"/>
          </w:divBdr>
        </w:div>
        <w:div w:id="683629309">
          <w:marLeft w:val="0"/>
          <w:marRight w:val="0"/>
          <w:marTop w:val="0"/>
          <w:marBottom w:val="0"/>
          <w:divBdr>
            <w:top w:val="none" w:sz="0" w:space="0" w:color="auto"/>
            <w:left w:val="none" w:sz="0" w:space="0" w:color="auto"/>
            <w:bottom w:val="none" w:sz="0" w:space="0" w:color="auto"/>
            <w:right w:val="none" w:sz="0" w:space="0" w:color="auto"/>
          </w:divBdr>
        </w:div>
        <w:div w:id="802505170">
          <w:marLeft w:val="0"/>
          <w:marRight w:val="0"/>
          <w:marTop w:val="0"/>
          <w:marBottom w:val="0"/>
          <w:divBdr>
            <w:top w:val="none" w:sz="0" w:space="0" w:color="auto"/>
            <w:left w:val="none" w:sz="0" w:space="0" w:color="auto"/>
            <w:bottom w:val="none" w:sz="0" w:space="0" w:color="auto"/>
            <w:right w:val="none" w:sz="0" w:space="0" w:color="auto"/>
          </w:divBdr>
        </w:div>
      </w:divsChild>
    </w:div>
    <w:div w:id="1057824617">
      <w:bodyDiv w:val="1"/>
      <w:marLeft w:val="0"/>
      <w:marRight w:val="0"/>
      <w:marTop w:val="0"/>
      <w:marBottom w:val="0"/>
      <w:divBdr>
        <w:top w:val="none" w:sz="0" w:space="0" w:color="auto"/>
        <w:left w:val="none" w:sz="0" w:space="0" w:color="auto"/>
        <w:bottom w:val="none" w:sz="0" w:space="0" w:color="auto"/>
        <w:right w:val="none" w:sz="0" w:space="0" w:color="auto"/>
      </w:divBdr>
      <w:divsChild>
        <w:div w:id="1910847160">
          <w:marLeft w:val="0"/>
          <w:marRight w:val="0"/>
          <w:marTop w:val="0"/>
          <w:marBottom w:val="0"/>
          <w:divBdr>
            <w:top w:val="none" w:sz="0" w:space="0" w:color="auto"/>
            <w:left w:val="none" w:sz="0" w:space="0" w:color="auto"/>
            <w:bottom w:val="none" w:sz="0" w:space="0" w:color="auto"/>
            <w:right w:val="none" w:sz="0" w:space="0" w:color="auto"/>
          </w:divBdr>
        </w:div>
        <w:div w:id="1187056982">
          <w:marLeft w:val="0"/>
          <w:marRight w:val="0"/>
          <w:marTop w:val="0"/>
          <w:marBottom w:val="0"/>
          <w:divBdr>
            <w:top w:val="none" w:sz="0" w:space="0" w:color="auto"/>
            <w:left w:val="none" w:sz="0" w:space="0" w:color="auto"/>
            <w:bottom w:val="none" w:sz="0" w:space="0" w:color="auto"/>
            <w:right w:val="none" w:sz="0" w:space="0" w:color="auto"/>
          </w:divBdr>
        </w:div>
        <w:div w:id="885915663">
          <w:marLeft w:val="0"/>
          <w:marRight w:val="0"/>
          <w:marTop w:val="0"/>
          <w:marBottom w:val="0"/>
          <w:divBdr>
            <w:top w:val="none" w:sz="0" w:space="0" w:color="auto"/>
            <w:left w:val="none" w:sz="0" w:space="0" w:color="auto"/>
            <w:bottom w:val="none" w:sz="0" w:space="0" w:color="auto"/>
            <w:right w:val="none" w:sz="0" w:space="0" w:color="auto"/>
          </w:divBdr>
        </w:div>
      </w:divsChild>
    </w:div>
    <w:div w:id="1146359851">
      <w:bodyDiv w:val="1"/>
      <w:marLeft w:val="0"/>
      <w:marRight w:val="0"/>
      <w:marTop w:val="0"/>
      <w:marBottom w:val="0"/>
      <w:divBdr>
        <w:top w:val="none" w:sz="0" w:space="0" w:color="auto"/>
        <w:left w:val="none" w:sz="0" w:space="0" w:color="auto"/>
        <w:bottom w:val="none" w:sz="0" w:space="0" w:color="auto"/>
        <w:right w:val="none" w:sz="0" w:space="0" w:color="auto"/>
      </w:divBdr>
    </w:div>
    <w:div w:id="1370690530">
      <w:bodyDiv w:val="1"/>
      <w:marLeft w:val="0"/>
      <w:marRight w:val="0"/>
      <w:marTop w:val="0"/>
      <w:marBottom w:val="0"/>
      <w:divBdr>
        <w:top w:val="none" w:sz="0" w:space="0" w:color="auto"/>
        <w:left w:val="none" w:sz="0" w:space="0" w:color="auto"/>
        <w:bottom w:val="none" w:sz="0" w:space="0" w:color="auto"/>
        <w:right w:val="none" w:sz="0" w:space="0" w:color="auto"/>
      </w:divBdr>
    </w:div>
    <w:div w:id="1462188747">
      <w:bodyDiv w:val="1"/>
      <w:marLeft w:val="0"/>
      <w:marRight w:val="0"/>
      <w:marTop w:val="0"/>
      <w:marBottom w:val="0"/>
      <w:divBdr>
        <w:top w:val="none" w:sz="0" w:space="0" w:color="auto"/>
        <w:left w:val="none" w:sz="0" w:space="0" w:color="auto"/>
        <w:bottom w:val="none" w:sz="0" w:space="0" w:color="auto"/>
        <w:right w:val="none" w:sz="0" w:space="0" w:color="auto"/>
      </w:divBdr>
      <w:divsChild>
        <w:div w:id="1603218184">
          <w:marLeft w:val="0"/>
          <w:marRight w:val="0"/>
          <w:marTop w:val="0"/>
          <w:marBottom w:val="0"/>
          <w:divBdr>
            <w:top w:val="none" w:sz="0" w:space="0" w:color="auto"/>
            <w:left w:val="none" w:sz="0" w:space="0" w:color="auto"/>
            <w:bottom w:val="none" w:sz="0" w:space="0" w:color="auto"/>
            <w:right w:val="none" w:sz="0" w:space="0" w:color="auto"/>
          </w:divBdr>
        </w:div>
      </w:divsChild>
    </w:div>
    <w:div w:id="1877041441">
      <w:bodyDiv w:val="1"/>
      <w:marLeft w:val="0"/>
      <w:marRight w:val="0"/>
      <w:marTop w:val="0"/>
      <w:marBottom w:val="0"/>
      <w:divBdr>
        <w:top w:val="none" w:sz="0" w:space="0" w:color="auto"/>
        <w:left w:val="none" w:sz="0" w:space="0" w:color="auto"/>
        <w:bottom w:val="none" w:sz="0" w:space="0" w:color="auto"/>
        <w:right w:val="none" w:sz="0" w:space="0" w:color="auto"/>
      </w:divBdr>
      <w:divsChild>
        <w:div w:id="701782111">
          <w:marLeft w:val="0"/>
          <w:marRight w:val="0"/>
          <w:marTop w:val="0"/>
          <w:marBottom w:val="0"/>
          <w:divBdr>
            <w:top w:val="none" w:sz="0" w:space="0" w:color="auto"/>
            <w:left w:val="none" w:sz="0" w:space="0" w:color="auto"/>
            <w:bottom w:val="none" w:sz="0" w:space="0" w:color="auto"/>
            <w:right w:val="none" w:sz="0" w:space="0" w:color="auto"/>
          </w:divBdr>
        </w:div>
        <w:div w:id="1150099409">
          <w:marLeft w:val="0"/>
          <w:marRight w:val="0"/>
          <w:marTop w:val="0"/>
          <w:marBottom w:val="0"/>
          <w:divBdr>
            <w:top w:val="none" w:sz="0" w:space="0" w:color="auto"/>
            <w:left w:val="none" w:sz="0" w:space="0" w:color="auto"/>
            <w:bottom w:val="none" w:sz="0" w:space="0" w:color="auto"/>
            <w:right w:val="none" w:sz="0" w:space="0" w:color="auto"/>
          </w:divBdr>
        </w:div>
        <w:div w:id="598757811">
          <w:marLeft w:val="0"/>
          <w:marRight w:val="0"/>
          <w:marTop w:val="0"/>
          <w:marBottom w:val="0"/>
          <w:divBdr>
            <w:top w:val="none" w:sz="0" w:space="0" w:color="auto"/>
            <w:left w:val="none" w:sz="0" w:space="0" w:color="auto"/>
            <w:bottom w:val="none" w:sz="0" w:space="0" w:color="auto"/>
            <w:right w:val="none" w:sz="0" w:space="0" w:color="auto"/>
          </w:divBdr>
        </w:div>
      </w:divsChild>
    </w:div>
    <w:div w:id="1881362455">
      <w:bodyDiv w:val="1"/>
      <w:marLeft w:val="0"/>
      <w:marRight w:val="0"/>
      <w:marTop w:val="0"/>
      <w:marBottom w:val="0"/>
      <w:divBdr>
        <w:top w:val="none" w:sz="0" w:space="0" w:color="auto"/>
        <w:left w:val="none" w:sz="0" w:space="0" w:color="auto"/>
        <w:bottom w:val="none" w:sz="0" w:space="0" w:color="auto"/>
        <w:right w:val="none" w:sz="0" w:space="0" w:color="auto"/>
      </w:divBdr>
    </w:div>
    <w:div w:id="1895314216">
      <w:bodyDiv w:val="1"/>
      <w:marLeft w:val="0"/>
      <w:marRight w:val="0"/>
      <w:marTop w:val="0"/>
      <w:marBottom w:val="0"/>
      <w:divBdr>
        <w:top w:val="none" w:sz="0" w:space="0" w:color="auto"/>
        <w:left w:val="none" w:sz="0" w:space="0" w:color="auto"/>
        <w:bottom w:val="none" w:sz="0" w:space="0" w:color="auto"/>
        <w:right w:val="none" w:sz="0" w:space="0" w:color="auto"/>
      </w:divBdr>
      <w:divsChild>
        <w:div w:id="58024385">
          <w:marLeft w:val="0"/>
          <w:marRight w:val="0"/>
          <w:marTop w:val="0"/>
          <w:marBottom w:val="0"/>
          <w:divBdr>
            <w:top w:val="none" w:sz="0" w:space="0" w:color="auto"/>
            <w:left w:val="none" w:sz="0" w:space="0" w:color="auto"/>
            <w:bottom w:val="none" w:sz="0" w:space="0" w:color="auto"/>
            <w:right w:val="none" w:sz="0" w:space="0" w:color="auto"/>
          </w:divBdr>
        </w:div>
        <w:div w:id="1470593785">
          <w:marLeft w:val="0"/>
          <w:marRight w:val="0"/>
          <w:marTop w:val="0"/>
          <w:marBottom w:val="0"/>
          <w:divBdr>
            <w:top w:val="none" w:sz="0" w:space="0" w:color="auto"/>
            <w:left w:val="none" w:sz="0" w:space="0" w:color="auto"/>
            <w:bottom w:val="none" w:sz="0" w:space="0" w:color="auto"/>
            <w:right w:val="none" w:sz="0" w:space="0" w:color="auto"/>
          </w:divBdr>
        </w:div>
        <w:div w:id="1480032250">
          <w:marLeft w:val="0"/>
          <w:marRight w:val="0"/>
          <w:marTop w:val="0"/>
          <w:marBottom w:val="0"/>
          <w:divBdr>
            <w:top w:val="none" w:sz="0" w:space="0" w:color="auto"/>
            <w:left w:val="none" w:sz="0" w:space="0" w:color="auto"/>
            <w:bottom w:val="none" w:sz="0" w:space="0" w:color="auto"/>
            <w:right w:val="none" w:sz="0" w:space="0" w:color="auto"/>
          </w:divBdr>
        </w:div>
        <w:div w:id="1206409748">
          <w:marLeft w:val="0"/>
          <w:marRight w:val="0"/>
          <w:marTop w:val="0"/>
          <w:marBottom w:val="0"/>
          <w:divBdr>
            <w:top w:val="none" w:sz="0" w:space="0" w:color="auto"/>
            <w:left w:val="none" w:sz="0" w:space="0" w:color="auto"/>
            <w:bottom w:val="none" w:sz="0" w:space="0" w:color="auto"/>
            <w:right w:val="none" w:sz="0" w:space="0" w:color="auto"/>
          </w:divBdr>
        </w:div>
        <w:div w:id="1161388190">
          <w:marLeft w:val="0"/>
          <w:marRight w:val="0"/>
          <w:marTop w:val="0"/>
          <w:marBottom w:val="0"/>
          <w:divBdr>
            <w:top w:val="none" w:sz="0" w:space="0" w:color="auto"/>
            <w:left w:val="none" w:sz="0" w:space="0" w:color="auto"/>
            <w:bottom w:val="none" w:sz="0" w:space="0" w:color="auto"/>
            <w:right w:val="none" w:sz="0" w:space="0" w:color="auto"/>
          </w:divBdr>
        </w:div>
        <w:div w:id="525487743">
          <w:marLeft w:val="0"/>
          <w:marRight w:val="0"/>
          <w:marTop w:val="0"/>
          <w:marBottom w:val="0"/>
          <w:divBdr>
            <w:top w:val="none" w:sz="0" w:space="0" w:color="auto"/>
            <w:left w:val="none" w:sz="0" w:space="0" w:color="auto"/>
            <w:bottom w:val="none" w:sz="0" w:space="0" w:color="auto"/>
            <w:right w:val="none" w:sz="0" w:space="0" w:color="auto"/>
          </w:divBdr>
        </w:div>
        <w:div w:id="1968588220">
          <w:marLeft w:val="0"/>
          <w:marRight w:val="0"/>
          <w:marTop w:val="0"/>
          <w:marBottom w:val="0"/>
          <w:divBdr>
            <w:top w:val="none" w:sz="0" w:space="0" w:color="auto"/>
            <w:left w:val="none" w:sz="0" w:space="0" w:color="auto"/>
            <w:bottom w:val="none" w:sz="0" w:space="0" w:color="auto"/>
            <w:right w:val="none" w:sz="0" w:space="0" w:color="auto"/>
          </w:divBdr>
        </w:div>
        <w:div w:id="1739593685">
          <w:marLeft w:val="0"/>
          <w:marRight w:val="0"/>
          <w:marTop w:val="0"/>
          <w:marBottom w:val="0"/>
          <w:divBdr>
            <w:top w:val="none" w:sz="0" w:space="0" w:color="auto"/>
            <w:left w:val="none" w:sz="0" w:space="0" w:color="auto"/>
            <w:bottom w:val="none" w:sz="0" w:space="0" w:color="auto"/>
            <w:right w:val="none" w:sz="0" w:space="0" w:color="auto"/>
          </w:divBdr>
        </w:div>
        <w:div w:id="1722554337">
          <w:marLeft w:val="0"/>
          <w:marRight w:val="0"/>
          <w:marTop w:val="0"/>
          <w:marBottom w:val="0"/>
          <w:divBdr>
            <w:top w:val="none" w:sz="0" w:space="0" w:color="auto"/>
            <w:left w:val="none" w:sz="0" w:space="0" w:color="auto"/>
            <w:bottom w:val="none" w:sz="0" w:space="0" w:color="auto"/>
            <w:right w:val="none" w:sz="0" w:space="0" w:color="auto"/>
          </w:divBdr>
        </w:div>
        <w:div w:id="775946434">
          <w:marLeft w:val="0"/>
          <w:marRight w:val="0"/>
          <w:marTop w:val="0"/>
          <w:marBottom w:val="0"/>
          <w:divBdr>
            <w:top w:val="none" w:sz="0" w:space="0" w:color="auto"/>
            <w:left w:val="none" w:sz="0" w:space="0" w:color="auto"/>
            <w:bottom w:val="none" w:sz="0" w:space="0" w:color="auto"/>
            <w:right w:val="none" w:sz="0" w:space="0" w:color="auto"/>
          </w:divBdr>
        </w:div>
        <w:div w:id="181478840">
          <w:marLeft w:val="0"/>
          <w:marRight w:val="0"/>
          <w:marTop w:val="0"/>
          <w:marBottom w:val="0"/>
          <w:divBdr>
            <w:top w:val="none" w:sz="0" w:space="0" w:color="auto"/>
            <w:left w:val="none" w:sz="0" w:space="0" w:color="auto"/>
            <w:bottom w:val="none" w:sz="0" w:space="0" w:color="auto"/>
            <w:right w:val="none" w:sz="0" w:space="0" w:color="auto"/>
          </w:divBdr>
        </w:div>
        <w:div w:id="379329705">
          <w:marLeft w:val="0"/>
          <w:marRight w:val="0"/>
          <w:marTop w:val="0"/>
          <w:marBottom w:val="0"/>
          <w:divBdr>
            <w:top w:val="none" w:sz="0" w:space="0" w:color="auto"/>
            <w:left w:val="none" w:sz="0" w:space="0" w:color="auto"/>
            <w:bottom w:val="none" w:sz="0" w:space="0" w:color="auto"/>
            <w:right w:val="none" w:sz="0" w:space="0" w:color="auto"/>
          </w:divBdr>
        </w:div>
        <w:div w:id="404766562">
          <w:marLeft w:val="0"/>
          <w:marRight w:val="0"/>
          <w:marTop w:val="0"/>
          <w:marBottom w:val="0"/>
          <w:divBdr>
            <w:top w:val="none" w:sz="0" w:space="0" w:color="auto"/>
            <w:left w:val="none" w:sz="0" w:space="0" w:color="auto"/>
            <w:bottom w:val="none" w:sz="0" w:space="0" w:color="auto"/>
            <w:right w:val="none" w:sz="0" w:space="0" w:color="auto"/>
          </w:divBdr>
        </w:div>
        <w:div w:id="569659816">
          <w:marLeft w:val="0"/>
          <w:marRight w:val="0"/>
          <w:marTop w:val="0"/>
          <w:marBottom w:val="0"/>
          <w:divBdr>
            <w:top w:val="none" w:sz="0" w:space="0" w:color="auto"/>
            <w:left w:val="none" w:sz="0" w:space="0" w:color="auto"/>
            <w:bottom w:val="none" w:sz="0" w:space="0" w:color="auto"/>
            <w:right w:val="none" w:sz="0" w:space="0" w:color="auto"/>
          </w:divBdr>
        </w:div>
        <w:div w:id="690034915">
          <w:marLeft w:val="0"/>
          <w:marRight w:val="0"/>
          <w:marTop w:val="0"/>
          <w:marBottom w:val="0"/>
          <w:divBdr>
            <w:top w:val="none" w:sz="0" w:space="0" w:color="auto"/>
            <w:left w:val="none" w:sz="0" w:space="0" w:color="auto"/>
            <w:bottom w:val="none" w:sz="0" w:space="0" w:color="auto"/>
            <w:right w:val="none" w:sz="0" w:space="0" w:color="auto"/>
          </w:divBdr>
        </w:div>
        <w:div w:id="1410806457">
          <w:marLeft w:val="0"/>
          <w:marRight w:val="0"/>
          <w:marTop w:val="0"/>
          <w:marBottom w:val="0"/>
          <w:divBdr>
            <w:top w:val="none" w:sz="0" w:space="0" w:color="auto"/>
            <w:left w:val="none" w:sz="0" w:space="0" w:color="auto"/>
            <w:bottom w:val="none" w:sz="0" w:space="0" w:color="auto"/>
            <w:right w:val="none" w:sz="0" w:space="0" w:color="auto"/>
          </w:divBdr>
        </w:div>
        <w:div w:id="10570143">
          <w:marLeft w:val="0"/>
          <w:marRight w:val="0"/>
          <w:marTop w:val="0"/>
          <w:marBottom w:val="0"/>
          <w:divBdr>
            <w:top w:val="none" w:sz="0" w:space="0" w:color="auto"/>
            <w:left w:val="none" w:sz="0" w:space="0" w:color="auto"/>
            <w:bottom w:val="none" w:sz="0" w:space="0" w:color="auto"/>
            <w:right w:val="none" w:sz="0" w:space="0" w:color="auto"/>
          </w:divBdr>
        </w:div>
        <w:div w:id="2136097189">
          <w:marLeft w:val="0"/>
          <w:marRight w:val="0"/>
          <w:marTop w:val="0"/>
          <w:marBottom w:val="0"/>
          <w:divBdr>
            <w:top w:val="none" w:sz="0" w:space="0" w:color="auto"/>
            <w:left w:val="none" w:sz="0" w:space="0" w:color="auto"/>
            <w:bottom w:val="none" w:sz="0" w:space="0" w:color="auto"/>
            <w:right w:val="none" w:sz="0" w:space="0" w:color="auto"/>
          </w:divBdr>
        </w:div>
        <w:div w:id="1928345442">
          <w:marLeft w:val="0"/>
          <w:marRight w:val="0"/>
          <w:marTop w:val="0"/>
          <w:marBottom w:val="0"/>
          <w:divBdr>
            <w:top w:val="none" w:sz="0" w:space="0" w:color="auto"/>
            <w:left w:val="none" w:sz="0" w:space="0" w:color="auto"/>
            <w:bottom w:val="none" w:sz="0" w:space="0" w:color="auto"/>
            <w:right w:val="none" w:sz="0" w:space="0" w:color="auto"/>
          </w:divBdr>
        </w:div>
        <w:div w:id="1175681996">
          <w:marLeft w:val="0"/>
          <w:marRight w:val="0"/>
          <w:marTop w:val="0"/>
          <w:marBottom w:val="0"/>
          <w:divBdr>
            <w:top w:val="none" w:sz="0" w:space="0" w:color="auto"/>
            <w:left w:val="none" w:sz="0" w:space="0" w:color="auto"/>
            <w:bottom w:val="none" w:sz="0" w:space="0" w:color="auto"/>
            <w:right w:val="none" w:sz="0" w:space="0" w:color="auto"/>
          </w:divBdr>
        </w:div>
      </w:divsChild>
    </w:div>
    <w:div w:id="209578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547</Words>
  <Characters>3012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5</cp:revision>
  <dcterms:created xsi:type="dcterms:W3CDTF">2018-02-08T13:16:00Z</dcterms:created>
  <dcterms:modified xsi:type="dcterms:W3CDTF">2018-02-08T13:22:00Z</dcterms:modified>
</cp:coreProperties>
</file>