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294E84">
            <w:pPr>
              <w:jc w:val="center"/>
              <w:rPr>
                <w:b/>
                <w:color w:val="000000" w:themeColor="text1"/>
              </w:rPr>
            </w:pPr>
            <w:r w:rsidRPr="004A72A1">
              <w:rPr>
                <w:b/>
                <w:color w:val="000000" w:themeColor="text1"/>
              </w:rPr>
              <w:t>N°</w:t>
            </w:r>
            <w:r w:rsidR="00367ED7">
              <w:rPr>
                <w:b/>
                <w:color w:val="000000" w:themeColor="text1"/>
              </w:rPr>
              <w:t>001</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294E84" w:rsidP="00294E84">
            <w:pPr>
              <w:jc w:val="center"/>
              <w:rPr>
                <w:b/>
                <w:color w:val="000000" w:themeColor="text1"/>
              </w:rPr>
            </w:pPr>
            <w:r>
              <w:rPr>
                <w:b/>
                <w:color w:val="000000" w:themeColor="text1"/>
              </w:rPr>
              <w:t>IMPOSITIVA</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8F4DBD" w:rsidP="00ED2700">
            <w:pPr>
              <w:jc w:val="center"/>
              <w:rPr>
                <w:b/>
                <w:color w:val="000000" w:themeColor="text1"/>
              </w:rPr>
            </w:pPr>
            <w:r w:rsidRPr="008F4DBD">
              <w:rPr>
                <w:b/>
                <w:bCs/>
                <w:color w:val="000000"/>
              </w:rPr>
              <w:t>IMPUESTO A LAS GANANCIAS Y SOBRE LOS BIENES PERSONALES. PERSONAS FÍSICAS Y SUCESIONES INDIVISAS. ANTICIPOS, DETERMINACIÓN ANUAL E INGRESO DEL IMPUESTO</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294E84" w:rsidP="00CB5F62">
            <w:pPr>
              <w:jc w:val="center"/>
              <w:rPr>
                <w:color w:val="000000" w:themeColor="text1"/>
              </w:rPr>
            </w:pPr>
            <w:r w:rsidRPr="008F4DBD">
              <w:rPr>
                <w:b/>
                <w:bCs/>
                <w:color w:val="000000"/>
                <w:szCs w:val="22"/>
              </w:rPr>
              <w:t>RESOLUCIÓN GENERAL (AFIP) 4187-E</w:t>
            </w: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294E84" w:rsidP="003F75DC">
            <w:pPr>
              <w:jc w:val="center"/>
              <w:rPr>
                <w:b/>
                <w:color w:val="000000" w:themeColor="text1"/>
              </w:rPr>
            </w:pPr>
            <w:r>
              <w:rPr>
                <w:b/>
                <w:color w:val="000000" w:themeColor="text1"/>
              </w:rPr>
              <w:t>B.O.</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294E84" w:rsidP="00294E84">
            <w:pPr>
              <w:jc w:val="center"/>
              <w:rPr>
                <w:b/>
                <w:color w:val="000000" w:themeColor="text1"/>
              </w:rPr>
            </w:pPr>
            <w:r>
              <w:rPr>
                <w:b/>
                <w:color w:val="000000" w:themeColor="text1"/>
              </w:rPr>
              <w:t>08</w:t>
            </w:r>
            <w:r w:rsidR="00A56BF1" w:rsidRPr="004A72A1">
              <w:rPr>
                <w:b/>
                <w:color w:val="000000" w:themeColor="text1"/>
              </w:rPr>
              <w:t>/</w:t>
            </w:r>
            <w:r w:rsidR="00573AE5" w:rsidRPr="004A72A1">
              <w:rPr>
                <w:b/>
                <w:color w:val="000000" w:themeColor="text1"/>
              </w:rPr>
              <w:t>1</w:t>
            </w:r>
            <w:r w:rsidR="001D73E9" w:rsidRPr="004A72A1">
              <w:rPr>
                <w:b/>
                <w:color w:val="000000" w:themeColor="text1"/>
              </w:rPr>
              <w:t>2</w:t>
            </w:r>
            <w:r w:rsidR="00A56BF1" w:rsidRPr="004A72A1">
              <w:rPr>
                <w:b/>
                <w:color w:val="000000" w:themeColor="text1"/>
              </w:rPr>
              <w:t>/2017</w:t>
            </w:r>
          </w:p>
        </w:tc>
      </w:tr>
    </w:tbl>
    <w:p w:rsidR="002F4542" w:rsidRPr="002F4542" w:rsidRDefault="002F4542" w:rsidP="002F4542">
      <w:pPr>
        <w:jc w:val="center"/>
        <w:rPr>
          <w:b/>
          <w:sz w:val="24"/>
          <w:szCs w:val="24"/>
          <w:u w:val="single"/>
        </w:rPr>
      </w:pP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1 - </w:t>
      </w:r>
      <w:proofErr w:type="spellStart"/>
      <w:r w:rsidRPr="008F4DBD">
        <w:rPr>
          <w:color w:val="000000" w:themeColor="text1"/>
          <w:sz w:val="22"/>
          <w:szCs w:val="22"/>
          <w:lang w:val="es-AR" w:eastAsia="es-AR"/>
        </w:rPr>
        <w:t>Modifícase</w:t>
      </w:r>
      <w:proofErr w:type="spellEnd"/>
      <w:r w:rsidRPr="008F4DBD">
        <w:rPr>
          <w:color w:val="000000" w:themeColor="text1"/>
          <w:sz w:val="22"/>
          <w:szCs w:val="22"/>
          <w:lang w:val="es-AR" w:eastAsia="es-AR"/>
        </w:rPr>
        <w:t xml:space="preserve"> la </w:t>
      </w:r>
      <w:r w:rsidRPr="0016672C">
        <w:rPr>
          <w:color w:val="000000" w:themeColor="text1"/>
          <w:sz w:val="22"/>
          <w:szCs w:val="22"/>
          <w:lang w:val="es-AR" w:eastAsia="es-AR"/>
        </w:rPr>
        <w:t>resolución general 975</w:t>
      </w:r>
      <w:r w:rsidRPr="008F4DBD">
        <w:rPr>
          <w:color w:val="000000" w:themeColor="text1"/>
          <w:sz w:val="22"/>
          <w:szCs w:val="22"/>
          <w:lang w:val="es-AR" w:eastAsia="es-AR"/>
        </w:rPr>
        <w:t>, sus modificatorias y complementarias, en la forma que se indica a continuación:</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 xml:space="preserve">1. </w:t>
      </w:r>
      <w:proofErr w:type="spellStart"/>
      <w:r w:rsidRPr="008F4DBD">
        <w:rPr>
          <w:color w:val="000000" w:themeColor="text1"/>
          <w:sz w:val="22"/>
          <w:szCs w:val="22"/>
          <w:lang w:val="es-AR" w:eastAsia="es-AR"/>
        </w:rPr>
        <w:t>Sustitúyese</w:t>
      </w:r>
      <w:proofErr w:type="spellEnd"/>
      <w:r w:rsidRPr="008F4DBD">
        <w:rPr>
          <w:color w:val="000000" w:themeColor="text1"/>
          <w:sz w:val="22"/>
          <w:szCs w:val="22"/>
          <w:lang w:val="es-AR" w:eastAsia="es-AR"/>
        </w:rPr>
        <w:t xml:space="preserve"> el artículo 7, por el siguiente:</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“Art. 7 - La presentación de la declaración jurada deberá efectuarse hasta el día del mes de junio del año inmediato siguiente al del período fiscal que se declara, según el cronograma de vencimientos que se establezca para cada año fiscal conforme la terminación de la clave única de identificación tributaria (CUIT) de los responsables.</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El ingreso del saldo resultante de la declaración jurada deberá realizarse hasta el día hábil administrativo inmediato siguiente, inclusive, al de cada una de las fechas de vencimiento general que corresponda, de acuerdo con lo establecido en el párrafo anterior.</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Cuando alguna de las fechas de vencimiento que se disponga coincida con día feriado o inhábil, la misma, así como las posteriores, se trasladarán correlativamente al o a los días hábiles inmediatos siguientes”.</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 xml:space="preserve">2. </w:t>
      </w:r>
      <w:proofErr w:type="spellStart"/>
      <w:r w:rsidRPr="008F4DBD">
        <w:rPr>
          <w:color w:val="000000" w:themeColor="text1"/>
          <w:sz w:val="22"/>
          <w:szCs w:val="22"/>
          <w:lang w:val="es-AR" w:eastAsia="es-AR"/>
        </w:rPr>
        <w:t>Elimínase</w:t>
      </w:r>
      <w:proofErr w:type="spellEnd"/>
      <w:r w:rsidRPr="008F4DBD">
        <w:rPr>
          <w:color w:val="000000" w:themeColor="text1"/>
          <w:sz w:val="22"/>
          <w:szCs w:val="22"/>
          <w:lang w:val="es-AR" w:eastAsia="es-AR"/>
        </w:rPr>
        <w:t xml:space="preserve"> la nota aclaratoria (7.1) del Anexo I.</w:t>
      </w: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2 - </w:t>
      </w:r>
      <w:proofErr w:type="spellStart"/>
      <w:r w:rsidRPr="008F4DBD">
        <w:rPr>
          <w:color w:val="000000" w:themeColor="text1"/>
          <w:sz w:val="22"/>
          <w:szCs w:val="22"/>
          <w:lang w:val="es-AR" w:eastAsia="es-AR"/>
        </w:rPr>
        <w:t>Modifícase</w:t>
      </w:r>
      <w:proofErr w:type="spellEnd"/>
      <w:r w:rsidRPr="008F4DBD">
        <w:rPr>
          <w:color w:val="000000" w:themeColor="text1"/>
          <w:sz w:val="22"/>
          <w:szCs w:val="22"/>
          <w:lang w:val="es-AR" w:eastAsia="es-AR"/>
        </w:rPr>
        <w:t xml:space="preserve"> la </w:t>
      </w:r>
      <w:r w:rsidRPr="0016672C">
        <w:rPr>
          <w:color w:val="000000" w:themeColor="text1"/>
          <w:sz w:val="22"/>
          <w:szCs w:val="22"/>
          <w:lang w:val="es-AR" w:eastAsia="es-AR"/>
        </w:rPr>
        <w:t>resolución general 2151</w:t>
      </w:r>
      <w:r w:rsidRPr="008F4DBD">
        <w:rPr>
          <w:color w:val="000000" w:themeColor="text1"/>
          <w:sz w:val="22"/>
          <w:szCs w:val="22"/>
          <w:lang w:val="es-AR" w:eastAsia="es-AR"/>
        </w:rPr>
        <w:t>, sus modificatorias y complementarias, en la forma que se indica a continuación:</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 xml:space="preserve">1. </w:t>
      </w:r>
      <w:proofErr w:type="spellStart"/>
      <w:r w:rsidRPr="008F4DBD">
        <w:rPr>
          <w:color w:val="000000" w:themeColor="text1"/>
          <w:sz w:val="22"/>
          <w:szCs w:val="22"/>
          <w:lang w:val="es-AR" w:eastAsia="es-AR"/>
        </w:rPr>
        <w:t>Sustitúyese</w:t>
      </w:r>
      <w:proofErr w:type="spellEnd"/>
      <w:r w:rsidRPr="008F4DBD">
        <w:rPr>
          <w:color w:val="000000" w:themeColor="text1"/>
          <w:sz w:val="22"/>
          <w:szCs w:val="22"/>
          <w:lang w:val="es-AR" w:eastAsia="es-AR"/>
        </w:rPr>
        <w:t xml:space="preserve"> el artículo 6, por el siguiente:</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“Art. 6 - La presentación de la declaración jurada deberá efectuarse hasta los días del mes de junio del año inmediato siguiente al del período fiscal que se declara, según el cronograma de vencimientos que se establezca para cada año fiscal conforme la terminación de la clave única de identificación tributaria (CUIT) de los responsables.</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El ingreso del saldo resultante de la declaración jurada deberá realizarse hasta el día hábil administrativo inmediato siguiente, inclusive, al de cada una de las fechas de vencimiento general que corresponda, de acuerdo con lo establecido en el párrafo anterior”.</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 xml:space="preserve">2. </w:t>
      </w:r>
      <w:proofErr w:type="spellStart"/>
      <w:r w:rsidRPr="008F4DBD">
        <w:rPr>
          <w:color w:val="000000" w:themeColor="text1"/>
          <w:sz w:val="22"/>
          <w:szCs w:val="22"/>
          <w:lang w:val="es-AR" w:eastAsia="es-AR"/>
        </w:rPr>
        <w:t>Sustitúyese</w:t>
      </w:r>
      <w:proofErr w:type="spellEnd"/>
      <w:r w:rsidRPr="008F4DBD">
        <w:rPr>
          <w:color w:val="000000" w:themeColor="text1"/>
          <w:sz w:val="22"/>
          <w:szCs w:val="22"/>
          <w:lang w:val="es-AR" w:eastAsia="es-AR"/>
        </w:rPr>
        <w:t xml:space="preserve"> el artículo 23, por el siguiente:</w:t>
      </w:r>
    </w:p>
    <w:p w:rsidR="008F4DBD" w:rsidRDefault="008F4DBD" w:rsidP="0016672C">
      <w:pPr>
        <w:spacing w:before="80"/>
        <w:jc w:val="both"/>
        <w:rPr>
          <w:color w:val="000000" w:themeColor="text1"/>
          <w:sz w:val="22"/>
          <w:szCs w:val="22"/>
          <w:lang w:val="es-AR" w:eastAsia="es-AR"/>
        </w:rPr>
      </w:pPr>
      <w:r w:rsidRPr="008F4DBD">
        <w:rPr>
          <w:color w:val="000000" w:themeColor="text1"/>
          <w:sz w:val="22"/>
          <w:szCs w:val="22"/>
          <w:lang w:val="es-AR" w:eastAsia="es-AR"/>
        </w:rPr>
        <w:t>“Art. 23 - El ingreso de los anticipos deberá efectuarse cuando el importe que se determine resulte igual o superior a la suma de un mil pesos ($ 1.000), los días de cada uno de los meses de agosto, octubre y diciembre del primer año siguiente al que deba tomarse como base para el cálculo, y de los meses de febrero y abril del segundo año calendario inmediato posterior, que se indican a continuación:</w:t>
      </w:r>
    </w:p>
    <w:p w:rsidR="0016672C" w:rsidRDefault="0016672C" w:rsidP="0016672C">
      <w:pPr>
        <w:spacing w:before="80"/>
        <w:jc w:val="both"/>
        <w:rPr>
          <w:color w:val="000000" w:themeColor="text1"/>
          <w:sz w:val="22"/>
          <w:szCs w:val="22"/>
          <w:lang w:val="es-AR" w:eastAsia="es-AR"/>
        </w:rPr>
      </w:pPr>
    </w:p>
    <w:tbl>
      <w:tblPr>
        <w:tblW w:w="3600" w:type="dxa"/>
        <w:tblInd w:w="55" w:type="dxa"/>
        <w:tblCellMar>
          <w:left w:w="70" w:type="dxa"/>
          <w:right w:w="70" w:type="dxa"/>
        </w:tblCellMar>
        <w:tblLook w:val="04A0"/>
      </w:tblPr>
      <w:tblGrid>
        <w:gridCol w:w="1240"/>
        <w:gridCol w:w="2360"/>
      </w:tblGrid>
      <w:tr w:rsidR="0016672C" w:rsidRPr="0016672C" w:rsidTr="0016672C">
        <w:trPr>
          <w:trHeight w:val="300"/>
        </w:trPr>
        <w:tc>
          <w:tcPr>
            <w:tcW w:w="12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rsidR="0016672C" w:rsidRPr="0016672C" w:rsidRDefault="0016672C" w:rsidP="0016672C">
            <w:pPr>
              <w:jc w:val="center"/>
              <w:rPr>
                <w:rFonts w:ascii="Verdana" w:hAnsi="Verdana" w:cs="Calibri"/>
                <w:b/>
                <w:bCs/>
                <w:color w:val="000000"/>
                <w:sz w:val="15"/>
                <w:szCs w:val="15"/>
                <w:lang w:val="es-AR" w:eastAsia="es-AR"/>
              </w:rPr>
            </w:pPr>
            <w:r w:rsidRPr="0016672C">
              <w:rPr>
                <w:rFonts w:ascii="Verdana" w:hAnsi="Verdana" w:cs="Calibri"/>
                <w:b/>
                <w:bCs/>
                <w:color w:val="000000"/>
                <w:sz w:val="15"/>
                <w:szCs w:val="15"/>
                <w:lang w:val="es-AR" w:eastAsia="es-AR"/>
              </w:rPr>
              <w:t>CUIT</w:t>
            </w:r>
          </w:p>
        </w:tc>
        <w:tc>
          <w:tcPr>
            <w:tcW w:w="2360" w:type="dxa"/>
            <w:tcBorders>
              <w:top w:val="single" w:sz="8" w:space="0" w:color="000000"/>
              <w:left w:val="nil"/>
              <w:bottom w:val="single" w:sz="8" w:space="0" w:color="000000"/>
              <w:right w:val="single" w:sz="8" w:space="0" w:color="000000"/>
            </w:tcBorders>
            <w:shd w:val="clear" w:color="000000" w:fill="A6A6A6"/>
            <w:vAlign w:val="center"/>
            <w:hideMark/>
          </w:tcPr>
          <w:p w:rsidR="0016672C" w:rsidRPr="0016672C" w:rsidRDefault="0016672C" w:rsidP="0016672C">
            <w:pPr>
              <w:jc w:val="center"/>
              <w:rPr>
                <w:rFonts w:ascii="Verdana" w:hAnsi="Verdana" w:cs="Calibri"/>
                <w:b/>
                <w:bCs/>
                <w:color w:val="000000"/>
                <w:sz w:val="15"/>
                <w:szCs w:val="15"/>
                <w:lang w:val="es-AR" w:eastAsia="es-AR"/>
              </w:rPr>
            </w:pPr>
            <w:r w:rsidRPr="0016672C">
              <w:rPr>
                <w:rFonts w:ascii="Verdana" w:hAnsi="Verdana" w:cs="Calibri"/>
                <w:b/>
                <w:bCs/>
                <w:color w:val="000000"/>
                <w:sz w:val="15"/>
                <w:szCs w:val="15"/>
                <w:lang w:val="es-AR" w:eastAsia="es-AR"/>
              </w:rPr>
              <w:t>Vencimiento</w:t>
            </w:r>
          </w:p>
        </w:tc>
      </w:tr>
      <w:tr w:rsidR="0016672C" w:rsidRPr="0016672C" w:rsidTr="0016672C">
        <w:trPr>
          <w:trHeight w:val="348"/>
        </w:trPr>
        <w:tc>
          <w:tcPr>
            <w:tcW w:w="1240" w:type="dxa"/>
            <w:tcBorders>
              <w:top w:val="nil"/>
              <w:left w:val="single" w:sz="8" w:space="0" w:color="000000"/>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0, 1, 2 o 3</w:t>
            </w:r>
          </w:p>
        </w:tc>
        <w:tc>
          <w:tcPr>
            <w:tcW w:w="2360" w:type="dxa"/>
            <w:tcBorders>
              <w:top w:val="nil"/>
              <w:left w:val="nil"/>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Hasta el día 13, inclusive</w:t>
            </w:r>
          </w:p>
        </w:tc>
      </w:tr>
      <w:tr w:rsidR="0016672C" w:rsidRPr="0016672C" w:rsidTr="0016672C">
        <w:trPr>
          <w:trHeight w:val="348"/>
        </w:trPr>
        <w:tc>
          <w:tcPr>
            <w:tcW w:w="1240" w:type="dxa"/>
            <w:tcBorders>
              <w:top w:val="nil"/>
              <w:left w:val="single" w:sz="8" w:space="0" w:color="000000"/>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4, 5 o 6</w:t>
            </w:r>
          </w:p>
        </w:tc>
        <w:tc>
          <w:tcPr>
            <w:tcW w:w="2360" w:type="dxa"/>
            <w:tcBorders>
              <w:top w:val="nil"/>
              <w:left w:val="nil"/>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Hasta el día 14, inclusive</w:t>
            </w:r>
          </w:p>
        </w:tc>
      </w:tr>
      <w:tr w:rsidR="0016672C" w:rsidRPr="0016672C" w:rsidTr="0016672C">
        <w:trPr>
          <w:trHeight w:val="348"/>
        </w:trPr>
        <w:tc>
          <w:tcPr>
            <w:tcW w:w="1240" w:type="dxa"/>
            <w:tcBorders>
              <w:top w:val="nil"/>
              <w:left w:val="single" w:sz="8" w:space="0" w:color="000000"/>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7, 8 o 9</w:t>
            </w:r>
          </w:p>
        </w:tc>
        <w:tc>
          <w:tcPr>
            <w:tcW w:w="2360" w:type="dxa"/>
            <w:tcBorders>
              <w:top w:val="nil"/>
              <w:left w:val="nil"/>
              <w:bottom w:val="single" w:sz="8" w:space="0" w:color="000000"/>
              <w:right w:val="single" w:sz="8" w:space="0" w:color="000000"/>
            </w:tcBorders>
            <w:shd w:val="clear" w:color="000000" w:fill="FFFFFF"/>
            <w:vAlign w:val="center"/>
            <w:hideMark/>
          </w:tcPr>
          <w:p w:rsidR="0016672C" w:rsidRPr="0016672C" w:rsidRDefault="0016672C" w:rsidP="0016672C">
            <w:pPr>
              <w:jc w:val="center"/>
              <w:rPr>
                <w:rFonts w:ascii="Verdana" w:hAnsi="Verdana" w:cs="Calibri"/>
                <w:color w:val="000000"/>
                <w:sz w:val="15"/>
                <w:szCs w:val="15"/>
                <w:lang w:val="es-AR" w:eastAsia="es-AR"/>
              </w:rPr>
            </w:pPr>
            <w:r w:rsidRPr="0016672C">
              <w:rPr>
                <w:rFonts w:ascii="Verdana" w:hAnsi="Verdana" w:cs="Calibri"/>
                <w:color w:val="000000"/>
                <w:sz w:val="15"/>
                <w:szCs w:val="15"/>
                <w:lang w:val="es-AR" w:eastAsia="es-AR"/>
              </w:rPr>
              <w:t>Hasta el día 15, inclusive</w:t>
            </w:r>
          </w:p>
        </w:tc>
      </w:tr>
    </w:tbl>
    <w:p w:rsidR="0016672C" w:rsidRPr="008F4DBD" w:rsidRDefault="0016672C" w:rsidP="0016672C">
      <w:pPr>
        <w:spacing w:before="80"/>
        <w:jc w:val="both"/>
        <w:rPr>
          <w:color w:val="000000" w:themeColor="text1"/>
          <w:sz w:val="22"/>
          <w:szCs w:val="22"/>
          <w:lang w:val="es-AR" w:eastAsia="es-AR"/>
        </w:rPr>
      </w:pP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lastRenderedPageBreak/>
        <w:t xml:space="preserve">3. </w:t>
      </w:r>
      <w:proofErr w:type="spellStart"/>
      <w:r w:rsidRPr="008F4DBD">
        <w:rPr>
          <w:color w:val="000000" w:themeColor="text1"/>
          <w:sz w:val="22"/>
          <w:szCs w:val="22"/>
          <w:lang w:val="es-AR" w:eastAsia="es-AR"/>
        </w:rPr>
        <w:t>Sustitúyese</w:t>
      </w:r>
      <w:proofErr w:type="spellEnd"/>
      <w:r w:rsidRPr="008F4DBD">
        <w:rPr>
          <w:color w:val="000000" w:themeColor="text1"/>
          <w:sz w:val="22"/>
          <w:szCs w:val="22"/>
          <w:lang w:val="es-AR" w:eastAsia="es-AR"/>
        </w:rPr>
        <w:t xml:space="preserve"> el primer párrafo del artículo 33, por el siguiente:</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“La presentación de la declaración jurada deberá efectuarse hasta el día -que fije el cronograma de vencimientos que se establezca para cada año fiscal conforme la terminación la clave única de identificación tributaria (CUIT) de los responsables- del mes de junio del año inmediato siguiente al del período fiscal que se declara”.</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 xml:space="preserve">4. </w:t>
      </w:r>
      <w:proofErr w:type="spellStart"/>
      <w:r w:rsidRPr="008F4DBD">
        <w:rPr>
          <w:color w:val="000000" w:themeColor="text1"/>
          <w:sz w:val="22"/>
          <w:szCs w:val="22"/>
          <w:lang w:val="es-AR" w:eastAsia="es-AR"/>
        </w:rPr>
        <w:t>Elimínanse</w:t>
      </w:r>
      <w:proofErr w:type="spellEnd"/>
      <w:r w:rsidRPr="008F4DBD">
        <w:rPr>
          <w:color w:val="000000" w:themeColor="text1"/>
          <w:sz w:val="22"/>
          <w:szCs w:val="22"/>
          <w:lang w:val="es-AR" w:eastAsia="es-AR"/>
        </w:rPr>
        <w:t xml:space="preserve"> las notas aclaratorias (6.1) y (33.1) del Anexo I.</w:t>
      </w: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3 -</w:t>
      </w:r>
      <w:r w:rsidRPr="008F4DBD">
        <w:rPr>
          <w:color w:val="000000" w:themeColor="text1"/>
          <w:sz w:val="22"/>
          <w:szCs w:val="22"/>
          <w:lang w:val="es-AR" w:eastAsia="es-AR"/>
        </w:rPr>
        <w:t> </w:t>
      </w:r>
      <w:proofErr w:type="spellStart"/>
      <w:r w:rsidRPr="008F4DBD">
        <w:rPr>
          <w:color w:val="000000" w:themeColor="text1"/>
          <w:sz w:val="22"/>
          <w:szCs w:val="22"/>
          <w:lang w:val="es-AR" w:eastAsia="es-AR"/>
        </w:rPr>
        <w:t>Sustitúyese</w:t>
      </w:r>
      <w:proofErr w:type="spellEnd"/>
      <w:r w:rsidRPr="008F4DBD">
        <w:rPr>
          <w:color w:val="000000" w:themeColor="text1"/>
          <w:sz w:val="22"/>
          <w:szCs w:val="22"/>
          <w:lang w:val="es-AR" w:eastAsia="es-AR"/>
        </w:rPr>
        <w:t xml:space="preserve"> el </w:t>
      </w:r>
      <w:r w:rsidRPr="0016672C">
        <w:rPr>
          <w:color w:val="000000" w:themeColor="text1"/>
          <w:sz w:val="22"/>
          <w:szCs w:val="22"/>
          <w:lang w:val="es-AR" w:eastAsia="es-AR"/>
        </w:rPr>
        <w:t>inciso b) del artículo 4 de la resolución general 4034-E</w:t>
      </w:r>
      <w:r w:rsidRPr="008F4DBD">
        <w:rPr>
          <w:color w:val="000000" w:themeColor="text1"/>
          <w:sz w:val="22"/>
          <w:szCs w:val="22"/>
          <w:lang w:val="es-AR" w:eastAsia="es-AR"/>
        </w:rPr>
        <w:t>, su modificatoria y sus complementarias, por el siguiente:</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“b) Para los sujetos mencionados en el inciso b) del artículo 2: los anticipos vencerán el día que corresponda de los meses de agosto, octubre y diciembre del primer año calendario siguiente al que deba tomarse como base para su cálculo, y en los meses de febrero y abril del segundo año calendario inmediato posterior”.</w:t>
      </w: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4 -</w:t>
      </w:r>
      <w:r w:rsidRPr="008F4DBD">
        <w:rPr>
          <w:color w:val="000000" w:themeColor="text1"/>
          <w:sz w:val="22"/>
          <w:szCs w:val="22"/>
          <w:lang w:val="es-AR" w:eastAsia="es-AR"/>
        </w:rPr>
        <w:t> </w:t>
      </w:r>
      <w:proofErr w:type="spellStart"/>
      <w:r w:rsidRPr="008F4DBD">
        <w:rPr>
          <w:color w:val="000000" w:themeColor="text1"/>
          <w:sz w:val="22"/>
          <w:szCs w:val="22"/>
          <w:lang w:val="es-AR" w:eastAsia="es-AR"/>
        </w:rPr>
        <w:t>Déjase</w:t>
      </w:r>
      <w:proofErr w:type="spellEnd"/>
      <w:r w:rsidRPr="008F4DBD">
        <w:rPr>
          <w:color w:val="000000" w:themeColor="text1"/>
          <w:sz w:val="22"/>
          <w:szCs w:val="22"/>
          <w:lang w:val="es-AR" w:eastAsia="es-AR"/>
        </w:rPr>
        <w:t xml:space="preserve"> sin efecto el </w:t>
      </w:r>
      <w:r w:rsidRPr="0016672C">
        <w:rPr>
          <w:color w:val="000000" w:themeColor="text1"/>
          <w:sz w:val="22"/>
          <w:szCs w:val="22"/>
          <w:lang w:val="es-AR" w:eastAsia="es-AR"/>
        </w:rPr>
        <w:t>artículo 2 de la resolución general 4102-E</w:t>
      </w:r>
      <w:r w:rsidRPr="008F4DBD">
        <w:rPr>
          <w:color w:val="000000" w:themeColor="text1"/>
          <w:sz w:val="22"/>
          <w:szCs w:val="22"/>
          <w:lang w:val="es-AR" w:eastAsia="es-AR"/>
        </w:rPr>
        <w:t>.</w:t>
      </w: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5 -</w:t>
      </w:r>
      <w:r w:rsidRPr="008F4DBD">
        <w:rPr>
          <w:color w:val="000000" w:themeColor="text1"/>
          <w:sz w:val="22"/>
          <w:szCs w:val="22"/>
          <w:lang w:val="es-AR" w:eastAsia="es-AR"/>
        </w:rPr>
        <w:t> Las disposiciones de la presente resolución general entrarán en vigencia el día de su publicación en el Boletín Oficial y resultarán de aplicación:</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a) Para la presentación de las declaraciones juradas determinativas de los impuestos a las ganancias y sobre los bienes personales correspondientes a los períodos fiscales 2017 y siguientes.</w:t>
      </w:r>
    </w:p>
    <w:p w:rsidR="008F4DBD" w:rsidRPr="008F4DBD" w:rsidRDefault="008F4DBD" w:rsidP="008F4DBD">
      <w:pPr>
        <w:spacing w:before="80"/>
        <w:jc w:val="both"/>
        <w:rPr>
          <w:color w:val="000000" w:themeColor="text1"/>
          <w:sz w:val="22"/>
          <w:szCs w:val="22"/>
          <w:lang w:val="es-AR" w:eastAsia="es-AR"/>
        </w:rPr>
      </w:pPr>
      <w:r w:rsidRPr="008F4DBD">
        <w:rPr>
          <w:color w:val="000000" w:themeColor="text1"/>
          <w:sz w:val="22"/>
          <w:szCs w:val="22"/>
          <w:lang w:val="es-AR" w:eastAsia="es-AR"/>
        </w:rPr>
        <w:t>b) Para el ingreso de los anticipos de los referidos impuestos de los períodos fiscales 2018 y siguientes.</w:t>
      </w:r>
    </w:p>
    <w:p w:rsidR="008F4DBD" w:rsidRPr="008F4DBD" w:rsidRDefault="008F4DBD" w:rsidP="008F4DBD">
      <w:pPr>
        <w:spacing w:before="80"/>
        <w:jc w:val="both"/>
        <w:rPr>
          <w:color w:val="000000" w:themeColor="text1"/>
          <w:sz w:val="22"/>
          <w:szCs w:val="22"/>
          <w:lang w:val="es-AR" w:eastAsia="es-AR"/>
        </w:rPr>
      </w:pPr>
      <w:r w:rsidRPr="0016672C">
        <w:rPr>
          <w:b/>
          <w:bCs/>
          <w:color w:val="000000" w:themeColor="text1"/>
          <w:sz w:val="22"/>
          <w:szCs w:val="22"/>
          <w:lang w:val="es-AR" w:eastAsia="es-AR"/>
        </w:rPr>
        <w:t>Art. 6 -</w:t>
      </w:r>
      <w:r w:rsidRPr="008F4DBD">
        <w:rPr>
          <w:color w:val="000000" w:themeColor="text1"/>
          <w:sz w:val="22"/>
          <w:szCs w:val="22"/>
          <w:lang w:val="es-AR" w:eastAsia="es-AR"/>
        </w:rPr>
        <w:t> De forma.</w:t>
      </w:r>
    </w:p>
    <w:p w:rsidR="002F3EC1" w:rsidRPr="0016672C" w:rsidRDefault="002F3EC1" w:rsidP="008F4DBD">
      <w:pPr>
        <w:pStyle w:val="sangrianovedades"/>
        <w:tabs>
          <w:tab w:val="left" w:pos="9923"/>
        </w:tabs>
        <w:spacing w:before="0" w:beforeAutospacing="0"/>
        <w:jc w:val="center"/>
        <w:rPr>
          <w:color w:val="000000" w:themeColor="text1"/>
          <w:sz w:val="22"/>
          <w:szCs w:val="22"/>
        </w:rPr>
      </w:pPr>
    </w:p>
    <w:sectPr w:rsidR="002F3EC1" w:rsidRPr="0016672C" w:rsidSect="008F4DBD">
      <w:pgSz w:w="12240" w:h="15840"/>
      <w:pgMar w:top="426" w:right="1183"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46302"/>
    <w:rsid w:val="000531C0"/>
    <w:rsid w:val="00083E8B"/>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226064"/>
    <w:rsid w:val="00234C9E"/>
    <w:rsid w:val="0027160B"/>
    <w:rsid w:val="0027651D"/>
    <w:rsid w:val="00294E84"/>
    <w:rsid w:val="002C00A2"/>
    <w:rsid w:val="002F3EC1"/>
    <w:rsid w:val="002F4542"/>
    <w:rsid w:val="003048CA"/>
    <w:rsid w:val="00314F37"/>
    <w:rsid w:val="0033557D"/>
    <w:rsid w:val="00335E19"/>
    <w:rsid w:val="00367ED7"/>
    <w:rsid w:val="00371A9E"/>
    <w:rsid w:val="00380581"/>
    <w:rsid w:val="003857F0"/>
    <w:rsid w:val="0039675E"/>
    <w:rsid w:val="003E1E7C"/>
    <w:rsid w:val="003E4C4D"/>
    <w:rsid w:val="003F75DC"/>
    <w:rsid w:val="00413756"/>
    <w:rsid w:val="004152CD"/>
    <w:rsid w:val="004609B8"/>
    <w:rsid w:val="00491DD6"/>
    <w:rsid w:val="004A6C0E"/>
    <w:rsid w:val="004A72A1"/>
    <w:rsid w:val="004C7C78"/>
    <w:rsid w:val="004F4A06"/>
    <w:rsid w:val="00515FAA"/>
    <w:rsid w:val="00533750"/>
    <w:rsid w:val="00573AE5"/>
    <w:rsid w:val="00596BCF"/>
    <w:rsid w:val="005B02C4"/>
    <w:rsid w:val="005D13A6"/>
    <w:rsid w:val="00621D1D"/>
    <w:rsid w:val="00643889"/>
    <w:rsid w:val="006501F3"/>
    <w:rsid w:val="006A3FA2"/>
    <w:rsid w:val="006B37F5"/>
    <w:rsid w:val="006D5457"/>
    <w:rsid w:val="006F3268"/>
    <w:rsid w:val="00722CBA"/>
    <w:rsid w:val="00732186"/>
    <w:rsid w:val="00755EE1"/>
    <w:rsid w:val="00771B45"/>
    <w:rsid w:val="007B4907"/>
    <w:rsid w:val="007E65D9"/>
    <w:rsid w:val="0081222A"/>
    <w:rsid w:val="00813684"/>
    <w:rsid w:val="0082517D"/>
    <w:rsid w:val="0085600C"/>
    <w:rsid w:val="0087469D"/>
    <w:rsid w:val="0087523D"/>
    <w:rsid w:val="008D6B7E"/>
    <w:rsid w:val="008F4DBD"/>
    <w:rsid w:val="00905575"/>
    <w:rsid w:val="00952709"/>
    <w:rsid w:val="00976699"/>
    <w:rsid w:val="009A4D8D"/>
    <w:rsid w:val="009A4F37"/>
    <w:rsid w:val="009A73CD"/>
    <w:rsid w:val="009B2FA0"/>
    <w:rsid w:val="009B643E"/>
    <w:rsid w:val="009F0083"/>
    <w:rsid w:val="00A04CFE"/>
    <w:rsid w:val="00A12652"/>
    <w:rsid w:val="00A404E5"/>
    <w:rsid w:val="00A56BF1"/>
    <w:rsid w:val="00A633D3"/>
    <w:rsid w:val="00A90B98"/>
    <w:rsid w:val="00AB3652"/>
    <w:rsid w:val="00AC0679"/>
    <w:rsid w:val="00AD10A6"/>
    <w:rsid w:val="00B940A0"/>
    <w:rsid w:val="00BC3CD8"/>
    <w:rsid w:val="00BD0868"/>
    <w:rsid w:val="00BE2114"/>
    <w:rsid w:val="00BF7E10"/>
    <w:rsid w:val="00C13C2E"/>
    <w:rsid w:val="00C225EA"/>
    <w:rsid w:val="00C51E6A"/>
    <w:rsid w:val="00CB5F62"/>
    <w:rsid w:val="00CD2B77"/>
    <w:rsid w:val="00CE0A06"/>
    <w:rsid w:val="00D003AE"/>
    <w:rsid w:val="00D03303"/>
    <w:rsid w:val="00D03B5F"/>
    <w:rsid w:val="00D41274"/>
    <w:rsid w:val="00D54CE9"/>
    <w:rsid w:val="00D72B5E"/>
    <w:rsid w:val="00DB558F"/>
    <w:rsid w:val="00DC3BEB"/>
    <w:rsid w:val="00DF7DFA"/>
    <w:rsid w:val="00E32EFA"/>
    <w:rsid w:val="00E85D10"/>
    <w:rsid w:val="00EA6221"/>
    <w:rsid w:val="00ED2700"/>
    <w:rsid w:val="00EE4316"/>
    <w:rsid w:val="00F84B8B"/>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2018-01-08T13:35:00Z</dcterms:created>
  <dcterms:modified xsi:type="dcterms:W3CDTF">2018-01-08T13:35:00Z</dcterms:modified>
</cp:coreProperties>
</file>